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7966" w:rsidRDefault="00FC7966" w:rsidP="00FE7AC6">
      <w:pPr>
        <w:spacing w:line="300" w:lineRule="exact"/>
        <w:jc w:val="center"/>
        <w:rPr>
          <w:rFonts w:eastAsia="黑体"/>
          <w:color w:val="000000"/>
          <w:sz w:val="28"/>
          <w:szCs w:val="28"/>
        </w:rPr>
      </w:pPr>
      <w:r w:rsidRPr="00FC7966">
        <w:rPr>
          <w:rFonts w:eastAsia="黑体" w:hint="eastAsia"/>
          <w:color w:val="00B050"/>
          <w:sz w:val="28"/>
          <w:szCs w:val="28"/>
        </w:rPr>
        <w:t>达不到通用技术</w:t>
      </w:r>
      <w:r>
        <w:rPr>
          <w:rFonts w:eastAsia="黑体" w:hint="eastAsia"/>
          <w:color w:val="00B050"/>
          <w:sz w:val="28"/>
          <w:szCs w:val="28"/>
        </w:rPr>
        <w:t>要求</w:t>
      </w:r>
      <w:r w:rsidRPr="00FC7966">
        <w:rPr>
          <w:rFonts w:eastAsia="黑体" w:hint="eastAsia"/>
          <w:color w:val="00B050"/>
          <w:sz w:val="28"/>
          <w:szCs w:val="28"/>
        </w:rPr>
        <w:t>的没法出报告，需暂停型评试验</w:t>
      </w:r>
    </w:p>
    <w:p w:rsidR="00FC7966" w:rsidRDefault="00FC7966" w:rsidP="00FE7AC6">
      <w:pPr>
        <w:spacing w:line="300" w:lineRule="exact"/>
        <w:jc w:val="center"/>
        <w:rPr>
          <w:rFonts w:eastAsia="黑体"/>
          <w:color w:val="000000"/>
          <w:sz w:val="28"/>
          <w:szCs w:val="28"/>
        </w:rPr>
      </w:pPr>
    </w:p>
    <w:p w:rsidR="00FE7AC6" w:rsidRDefault="00FC7966" w:rsidP="00FE7AC6">
      <w:pPr>
        <w:spacing w:line="300" w:lineRule="exact"/>
        <w:jc w:val="center"/>
        <w:rPr>
          <w:rFonts w:eastAsia="黑体"/>
          <w:color w:val="000000"/>
          <w:sz w:val="28"/>
          <w:szCs w:val="28"/>
        </w:rPr>
      </w:pPr>
      <w:r w:rsidRPr="00FC7966">
        <w:rPr>
          <w:rFonts w:eastAsia="黑体" w:hint="eastAsia"/>
          <w:color w:val="000000"/>
          <w:szCs w:val="21"/>
        </w:rPr>
        <w:t>除填写核查表外</w:t>
      </w:r>
      <w:r w:rsidR="00BB04EA" w:rsidRPr="00BB04EA">
        <w:rPr>
          <w:rFonts w:eastAsia="黑体" w:hint="eastAsia"/>
          <w:color w:val="000000"/>
          <w:sz w:val="28"/>
          <w:szCs w:val="28"/>
        </w:rPr>
        <w:t>非自动衡器通用技术要求厂家必须</w:t>
      </w:r>
      <w:r w:rsidR="00BB04EA" w:rsidRPr="00BB04EA">
        <w:rPr>
          <w:rFonts w:eastAsia="黑体" w:hint="eastAsia"/>
          <w:color w:val="FF0000"/>
          <w:sz w:val="28"/>
          <w:szCs w:val="28"/>
        </w:rPr>
        <w:t>注意和提供</w:t>
      </w:r>
      <w:r w:rsidR="00BB04EA" w:rsidRPr="00BB04EA">
        <w:rPr>
          <w:rFonts w:eastAsia="黑体" w:hint="eastAsia"/>
          <w:color w:val="000000"/>
          <w:sz w:val="28"/>
          <w:szCs w:val="28"/>
        </w:rPr>
        <w:t>的条款</w:t>
      </w:r>
    </w:p>
    <w:p w:rsidR="00CF24B6" w:rsidRDefault="00FE7AC6" w:rsidP="00FE7AC6">
      <w:pPr>
        <w:spacing w:line="300" w:lineRule="exact"/>
        <w:jc w:val="center"/>
        <w:rPr>
          <w:rFonts w:hint="eastAsia"/>
          <w:sz w:val="18"/>
          <w:szCs w:val="18"/>
        </w:rPr>
      </w:pPr>
      <w:r w:rsidRPr="00FE7AC6">
        <w:rPr>
          <w:rFonts w:eastAsia="黑体" w:hint="eastAsia"/>
          <w:color w:val="000000"/>
          <w:sz w:val="18"/>
          <w:szCs w:val="18"/>
        </w:rPr>
        <w:t>（</w:t>
      </w:r>
      <w:r w:rsidR="00CF24B6" w:rsidRPr="00FE7AC6">
        <w:rPr>
          <w:rFonts w:hint="eastAsia"/>
          <w:sz w:val="18"/>
          <w:szCs w:val="18"/>
        </w:rPr>
        <w:t>主要是</w:t>
      </w:r>
      <w:r w:rsidR="00CF24B6" w:rsidRPr="00CF24B6">
        <w:rPr>
          <w:rFonts w:hint="eastAsia"/>
          <w:sz w:val="18"/>
          <w:szCs w:val="18"/>
        </w:rPr>
        <w:t>干扰</w:t>
      </w:r>
      <w:r w:rsidR="00CF24B6" w:rsidRPr="00CF24B6">
        <w:rPr>
          <w:rFonts w:hint="eastAsia"/>
          <w:b/>
          <w:color w:val="000000"/>
          <w:sz w:val="18"/>
          <w:szCs w:val="18"/>
        </w:rPr>
        <w:t>要求的选择、</w:t>
      </w:r>
      <w:r w:rsidR="00CF24B6" w:rsidRPr="00FE7AC6">
        <w:rPr>
          <w:rFonts w:hint="eastAsia"/>
          <w:color w:val="FF0000"/>
          <w:sz w:val="18"/>
          <w:szCs w:val="18"/>
        </w:rPr>
        <w:t>软件控制版本号</w:t>
      </w:r>
      <w:r w:rsidR="00CF24B6" w:rsidRPr="00FE7AC6">
        <w:rPr>
          <w:rFonts w:hint="eastAsia"/>
          <w:sz w:val="18"/>
          <w:szCs w:val="18"/>
        </w:rPr>
        <w:t>的提供等要求）</w:t>
      </w:r>
    </w:p>
    <w:p w:rsidR="001212BA" w:rsidRPr="001212BA" w:rsidRDefault="001212BA" w:rsidP="00FE7AC6">
      <w:pPr>
        <w:spacing w:line="300" w:lineRule="exact"/>
        <w:jc w:val="center"/>
        <w:rPr>
          <w:rFonts w:eastAsia="黑体"/>
          <w:color w:val="000000"/>
          <w:sz w:val="28"/>
          <w:szCs w:val="28"/>
        </w:rPr>
      </w:pPr>
    </w:p>
    <w:p w:rsidR="00CF24B6" w:rsidRPr="00CF24B6" w:rsidRDefault="001212BA" w:rsidP="00CF24B6">
      <w:pPr>
        <w:spacing w:line="260" w:lineRule="exact"/>
        <w:rPr>
          <w:szCs w:val="21"/>
        </w:rPr>
      </w:pPr>
      <w:r>
        <w:rPr>
          <w:rFonts w:hint="eastAsia"/>
          <w:szCs w:val="21"/>
        </w:rPr>
        <w:t>型式评价试验依据</w:t>
      </w:r>
      <w:r w:rsidRPr="001212BA">
        <w:rPr>
          <w:rFonts w:hint="eastAsia"/>
          <w:szCs w:val="21"/>
        </w:rPr>
        <w:t>JJF 1834-2020</w:t>
      </w:r>
      <w:r w:rsidRPr="001212BA">
        <w:rPr>
          <w:rFonts w:hint="eastAsia"/>
          <w:szCs w:val="21"/>
        </w:rPr>
        <w:t>非自动衡器通用技术要求</w:t>
      </w:r>
      <w:r>
        <w:rPr>
          <w:rFonts w:hint="eastAsia"/>
          <w:szCs w:val="21"/>
        </w:rPr>
        <w:t>，请自行上网搜找查看。</w:t>
      </w:r>
      <w:bookmarkStart w:id="0" w:name="_GoBack"/>
      <w:bookmarkEnd w:id="0"/>
    </w:p>
    <w:p w:rsidR="00BB04EA" w:rsidRPr="00BB04EA" w:rsidRDefault="00BB04EA" w:rsidP="00BB04EA">
      <w:pPr>
        <w:pStyle w:val="2"/>
        <w:spacing w:before="0" w:after="0" w:line="260" w:lineRule="exact"/>
      </w:pPr>
      <w:r>
        <w:rPr>
          <w:rFonts w:ascii="Times New Roman" w:hAnsi="Times New Roman" w:hint="eastAsia"/>
          <w:color w:val="000000"/>
          <w:sz w:val="24"/>
          <w:szCs w:val="24"/>
        </w:rPr>
        <w:t xml:space="preserve">7.1  </w:t>
      </w:r>
      <w:r>
        <w:rPr>
          <w:rFonts w:ascii="Times New Roman" w:hAnsi="Times New Roman" w:hint="eastAsia"/>
          <w:color w:val="000000"/>
          <w:sz w:val="24"/>
          <w:szCs w:val="24"/>
        </w:rPr>
        <w:t>通用要求</w:t>
      </w:r>
    </w:p>
    <w:p w:rsidR="00145C72" w:rsidRDefault="00145C72" w:rsidP="00BB04EA">
      <w:pPr>
        <w:pStyle w:val="3"/>
        <w:spacing w:before="0" w:after="0" w:line="260" w:lineRule="exact"/>
        <w:ind w:left="720" w:hanging="720"/>
        <w:rPr>
          <w:b w:val="0"/>
          <w:color w:val="000000"/>
          <w:sz w:val="24"/>
          <w:szCs w:val="24"/>
        </w:rPr>
      </w:pPr>
      <w:r>
        <w:rPr>
          <w:rFonts w:hint="eastAsia"/>
          <w:b w:val="0"/>
          <w:color w:val="000000"/>
          <w:sz w:val="24"/>
          <w:szCs w:val="24"/>
        </w:rPr>
        <w:t xml:space="preserve">7.1.1  </w:t>
      </w:r>
      <w:r>
        <w:rPr>
          <w:rFonts w:hint="eastAsia"/>
          <w:b w:val="0"/>
          <w:color w:val="000000"/>
          <w:sz w:val="24"/>
          <w:szCs w:val="24"/>
        </w:rPr>
        <w:t>应当通过设计与制造，使电子衡器被置于干扰场合时：</w:t>
      </w:r>
    </w:p>
    <w:p w:rsidR="00145C72" w:rsidRDefault="00145C72" w:rsidP="00BB04EA">
      <w:pPr>
        <w:pStyle w:val="30"/>
        <w:spacing w:beforeLines="0" w:before="0" w:afterLines="0" w:after="0" w:line="260" w:lineRule="exact"/>
        <w:ind w:left="780" w:hanging="360"/>
        <w:rPr>
          <w:color w:val="000000"/>
        </w:rPr>
      </w:pPr>
      <w:r>
        <w:rPr>
          <w:rFonts w:ascii="Times New Roman" w:hAnsi="Times New Roman" w:cs="Times New Roman"/>
          <w:color w:val="000000"/>
        </w:rPr>
        <w:t xml:space="preserve">a) </w:t>
      </w:r>
      <w:r>
        <w:rPr>
          <w:rFonts w:hint="eastAsia"/>
          <w:color w:val="000000"/>
        </w:rPr>
        <w:t>不出现显著增差，或</w:t>
      </w:r>
    </w:p>
    <w:p w:rsidR="00145C72" w:rsidRDefault="00145C72" w:rsidP="00BB04EA">
      <w:pPr>
        <w:pStyle w:val="30"/>
        <w:spacing w:beforeLines="0" w:before="0" w:afterLines="0" w:after="0" w:line="260" w:lineRule="exact"/>
        <w:ind w:left="780" w:hanging="360"/>
        <w:rPr>
          <w:color w:val="000000"/>
        </w:rPr>
      </w:pPr>
      <w:r>
        <w:rPr>
          <w:rFonts w:ascii="Times New Roman" w:hAnsi="Times New Roman" w:cs="Times New Roman"/>
          <w:color w:val="000000"/>
        </w:rPr>
        <w:t xml:space="preserve">b) </w:t>
      </w:r>
      <w:r>
        <w:rPr>
          <w:rFonts w:hint="eastAsia"/>
          <w:color w:val="000000"/>
        </w:rPr>
        <w:t>能够检测到显著增差并作出反应，显示器上显著增差的指示应与其他信息不产生混淆；</w:t>
      </w:r>
    </w:p>
    <w:p w:rsidR="00145C72" w:rsidRDefault="00145C72" w:rsidP="00BB04EA">
      <w:pPr>
        <w:pStyle w:val="a5"/>
        <w:spacing w:beforeLines="0" w:before="0" w:afterLines="0" w:after="0" w:line="260" w:lineRule="exact"/>
        <w:ind w:left="870" w:hanging="450"/>
        <w:rPr>
          <w:color w:val="000000"/>
        </w:rPr>
      </w:pPr>
      <w:r>
        <w:rPr>
          <w:rFonts w:hint="eastAsia"/>
          <w:i/>
          <w:color w:val="000000"/>
        </w:rPr>
        <w:t>注：</w:t>
      </w:r>
      <w:r>
        <w:rPr>
          <w:rFonts w:hint="eastAsia"/>
          <w:color w:val="000000"/>
        </w:rPr>
        <w:t>无论示值误差的值如何，允许存在小于或等于</w:t>
      </w:r>
      <w:r>
        <w:rPr>
          <w:rFonts w:hint="eastAsia"/>
          <w:i/>
          <w:color w:val="000000"/>
        </w:rPr>
        <w:t>e</w:t>
      </w:r>
      <w:r>
        <w:rPr>
          <w:rFonts w:hint="eastAsia"/>
          <w:color w:val="000000"/>
        </w:rPr>
        <w:t>的增差。</w:t>
      </w:r>
    </w:p>
    <w:p w:rsidR="00145C72" w:rsidRDefault="00145C72" w:rsidP="00BB04EA">
      <w:pPr>
        <w:pStyle w:val="3"/>
        <w:spacing w:before="0" w:after="0" w:line="260" w:lineRule="exact"/>
        <w:ind w:left="720" w:hanging="720"/>
        <w:rPr>
          <w:b w:val="0"/>
          <w:color w:val="000000"/>
          <w:sz w:val="24"/>
          <w:szCs w:val="24"/>
        </w:rPr>
      </w:pPr>
      <w:r>
        <w:rPr>
          <w:rFonts w:hint="eastAsia"/>
          <w:b w:val="0"/>
          <w:color w:val="000000"/>
          <w:sz w:val="24"/>
          <w:szCs w:val="24"/>
        </w:rPr>
        <w:t xml:space="preserve">7.1.2  </w:t>
      </w:r>
      <w:r>
        <w:rPr>
          <w:rFonts w:hint="eastAsia"/>
          <w:b w:val="0"/>
          <w:color w:val="000000"/>
          <w:sz w:val="24"/>
          <w:szCs w:val="24"/>
        </w:rPr>
        <w:t>根据衡器的使用目的，应始终满足</w:t>
      </w:r>
      <w:r>
        <w:rPr>
          <w:rFonts w:hint="eastAsia"/>
          <w:b w:val="0"/>
          <w:color w:val="000000"/>
          <w:sz w:val="24"/>
          <w:szCs w:val="24"/>
        </w:rPr>
        <w:t>5.5</w:t>
      </w:r>
      <w:r>
        <w:rPr>
          <w:rFonts w:hint="eastAsia"/>
          <w:b w:val="0"/>
          <w:color w:val="000000"/>
          <w:sz w:val="24"/>
          <w:szCs w:val="24"/>
        </w:rPr>
        <w:t>、</w:t>
      </w:r>
      <w:r>
        <w:rPr>
          <w:rFonts w:hint="eastAsia"/>
          <w:b w:val="0"/>
          <w:color w:val="000000"/>
          <w:sz w:val="24"/>
          <w:szCs w:val="24"/>
        </w:rPr>
        <w:t>5.6</w:t>
      </w:r>
      <w:r>
        <w:rPr>
          <w:rFonts w:hint="eastAsia"/>
          <w:b w:val="0"/>
          <w:color w:val="000000"/>
          <w:sz w:val="24"/>
          <w:szCs w:val="24"/>
        </w:rPr>
        <w:t>、</w:t>
      </w:r>
      <w:r>
        <w:rPr>
          <w:rFonts w:hint="eastAsia"/>
          <w:b w:val="0"/>
          <w:color w:val="000000"/>
          <w:sz w:val="24"/>
          <w:szCs w:val="24"/>
        </w:rPr>
        <w:t>5.8</w:t>
      </w:r>
      <w:r>
        <w:rPr>
          <w:rFonts w:hint="eastAsia"/>
          <w:b w:val="0"/>
          <w:color w:val="000000"/>
          <w:sz w:val="24"/>
          <w:szCs w:val="24"/>
        </w:rPr>
        <w:t>、</w:t>
      </w:r>
      <w:r>
        <w:rPr>
          <w:rFonts w:hint="eastAsia"/>
          <w:b w:val="0"/>
          <w:color w:val="000000"/>
          <w:sz w:val="24"/>
          <w:szCs w:val="24"/>
        </w:rPr>
        <w:t xml:space="preserve">5.9 </w:t>
      </w:r>
      <w:r>
        <w:rPr>
          <w:rFonts w:hint="eastAsia"/>
          <w:b w:val="0"/>
          <w:color w:val="000000"/>
          <w:sz w:val="24"/>
          <w:szCs w:val="24"/>
        </w:rPr>
        <w:t>和</w:t>
      </w:r>
      <w:r>
        <w:rPr>
          <w:rFonts w:hint="eastAsia"/>
          <w:b w:val="0"/>
          <w:color w:val="000000"/>
          <w:sz w:val="24"/>
          <w:szCs w:val="24"/>
        </w:rPr>
        <w:t xml:space="preserve"> 7.1.1</w:t>
      </w:r>
      <w:r>
        <w:rPr>
          <w:rFonts w:hint="eastAsia"/>
          <w:b w:val="0"/>
          <w:color w:val="000000"/>
          <w:sz w:val="24"/>
          <w:szCs w:val="24"/>
        </w:rPr>
        <w:t>的要求</w:t>
      </w:r>
      <w:r>
        <w:rPr>
          <w:rFonts w:hint="eastAsia"/>
          <w:b w:val="0"/>
          <w:color w:val="000000"/>
          <w:sz w:val="24"/>
          <w:szCs w:val="24"/>
        </w:rPr>
        <w:t xml:space="preserve">                                                           </w:t>
      </w:r>
    </w:p>
    <w:p w:rsidR="00145C72" w:rsidRDefault="00145C72" w:rsidP="00BB04EA">
      <w:pPr>
        <w:pStyle w:val="3"/>
        <w:spacing w:before="0" w:after="0" w:line="260" w:lineRule="exact"/>
        <w:ind w:left="720" w:hanging="720"/>
        <w:rPr>
          <w:b w:val="0"/>
          <w:color w:val="000000"/>
          <w:sz w:val="24"/>
          <w:szCs w:val="24"/>
        </w:rPr>
      </w:pPr>
      <w:r>
        <w:rPr>
          <w:rFonts w:hint="eastAsia"/>
          <w:b w:val="0"/>
          <w:color w:val="000000"/>
          <w:sz w:val="24"/>
          <w:szCs w:val="24"/>
        </w:rPr>
        <w:t xml:space="preserve">7.1.3  </w:t>
      </w:r>
      <w:r>
        <w:rPr>
          <w:rFonts w:hint="eastAsia"/>
          <w:b w:val="0"/>
          <w:color w:val="000000"/>
          <w:sz w:val="24"/>
          <w:szCs w:val="24"/>
        </w:rPr>
        <w:t>如果电子衡器的型式通过</w:t>
      </w:r>
      <w:r>
        <w:rPr>
          <w:rFonts w:hint="eastAsia"/>
          <w:b w:val="0"/>
          <w:color w:val="000000"/>
          <w:sz w:val="24"/>
          <w:szCs w:val="24"/>
        </w:rPr>
        <w:t>7.4</w:t>
      </w:r>
      <w:r>
        <w:rPr>
          <w:rFonts w:hint="eastAsia"/>
          <w:b w:val="0"/>
          <w:color w:val="000000"/>
          <w:sz w:val="24"/>
          <w:szCs w:val="24"/>
        </w:rPr>
        <w:t>规定的检查与试验，则此类型电子衡器可被认为符合</w:t>
      </w:r>
      <w:r>
        <w:rPr>
          <w:rFonts w:hint="eastAsia"/>
          <w:b w:val="0"/>
          <w:color w:val="000000"/>
          <w:sz w:val="24"/>
          <w:szCs w:val="24"/>
        </w:rPr>
        <w:t>7.1.1</w:t>
      </w:r>
      <w:r>
        <w:rPr>
          <w:rFonts w:hint="eastAsia"/>
          <w:b w:val="0"/>
          <w:color w:val="000000"/>
          <w:sz w:val="24"/>
          <w:szCs w:val="24"/>
        </w:rPr>
        <w:t>、</w:t>
      </w:r>
      <w:r>
        <w:rPr>
          <w:rFonts w:hint="eastAsia"/>
          <w:b w:val="0"/>
          <w:color w:val="000000"/>
          <w:sz w:val="24"/>
          <w:szCs w:val="24"/>
        </w:rPr>
        <w:t>7.1.2</w:t>
      </w:r>
      <w:r>
        <w:rPr>
          <w:rFonts w:hint="eastAsia"/>
          <w:b w:val="0"/>
          <w:color w:val="000000"/>
          <w:sz w:val="24"/>
          <w:szCs w:val="24"/>
        </w:rPr>
        <w:t>和</w:t>
      </w:r>
      <w:r>
        <w:rPr>
          <w:rFonts w:hint="eastAsia"/>
          <w:b w:val="0"/>
          <w:color w:val="000000"/>
          <w:sz w:val="24"/>
          <w:szCs w:val="24"/>
        </w:rPr>
        <w:t>7.3.2</w:t>
      </w:r>
      <w:r>
        <w:rPr>
          <w:rFonts w:hint="eastAsia"/>
          <w:b w:val="0"/>
          <w:color w:val="000000"/>
          <w:sz w:val="24"/>
          <w:szCs w:val="24"/>
        </w:rPr>
        <w:t>的要求。</w:t>
      </w:r>
    </w:p>
    <w:p w:rsidR="00145C72" w:rsidRDefault="00145C72" w:rsidP="00BB04EA">
      <w:pPr>
        <w:pStyle w:val="3"/>
        <w:spacing w:before="0" w:after="0" w:line="260" w:lineRule="exact"/>
        <w:ind w:left="720" w:hanging="720"/>
        <w:rPr>
          <w:b w:val="0"/>
          <w:color w:val="000000"/>
          <w:sz w:val="24"/>
          <w:szCs w:val="24"/>
        </w:rPr>
      </w:pPr>
      <w:r>
        <w:rPr>
          <w:rFonts w:hint="eastAsia"/>
          <w:b w:val="0"/>
          <w:color w:val="000000"/>
          <w:sz w:val="24"/>
          <w:szCs w:val="24"/>
        </w:rPr>
        <w:t>7.1.4  7.1.1</w:t>
      </w:r>
      <w:r>
        <w:rPr>
          <w:rFonts w:hint="eastAsia"/>
          <w:b w:val="0"/>
          <w:color w:val="000000"/>
          <w:sz w:val="24"/>
          <w:szCs w:val="24"/>
        </w:rPr>
        <w:t>条的要求可以分别适用于：</w:t>
      </w:r>
      <w:r>
        <w:rPr>
          <w:rFonts w:hint="eastAsia"/>
          <w:b w:val="0"/>
          <w:color w:val="000000"/>
          <w:sz w:val="24"/>
          <w:szCs w:val="24"/>
        </w:rPr>
        <w:t xml:space="preserve">                   </w:t>
      </w:r>
    </w:p>
    <w:p w:rsidR="00145C72" w:rsidRDefault="00145C72" w:rsidP="00BB04EA">
      <w:pPr>
        <w:spacing w:line="260" w:lineRule="exact"/>
        <w:ind w:firstLine="482"/>
        <w:rPr>
          <w:color w:val="000000"/>
        </w:rPr>
      </w:pPr>
      <w:r>
        <w:rPr>
          <w:color w:val="000000"/>
        </w:rPr>
        <w:t xml:space="preserve">a)  </w:t>
      </w:r>
      <w:r>
        <w:rPr>
          <w:rFonts w:hAnsi="宋体"/>
          <w:color w:val="000000"/>
        </w:rPr>
        <w:t>引起显著增差的每一个单独原因，和</w:t>
      </w:r>
      <w:r>
        <w:rPr>
          <w:color w:val="000000"/>
        </w:rPr>
        <w:t>/</w:t>
      </w:r>
      <w:r>
        <w:rPr>
          <w:rFonts w:hAnsi="宋体"/>
          <w:color w:val="000000"/>
        </w:rPr>
        <w:t>或；</w:t>
      </w:r>
    </w:p>
    <w:p w:rsidR="00145C72" w:rsidRDefault="00145C72" w:rsidP="00BB04EA">
      <w:pPr>
        <w:spacing w:line="260" w:lineRule="exact"/>
        <w:ind w:firstLine="482"/>
        <w:rPr>
          <w:color w:val="000000"/>
        </w:rPr>
      </w:pPr>
      <w:r>
        <w:rPr>
          <w:color w:val="000000"/>
        </w:rPr>
        <w:t xml:space="preserve">b)  </w:t>
      </w:r>
      <w:r>
        <w:rPr>
          <w:rFonts w:hAnsi="宋体"/>
          <w:color w:val="000000"/>
        </w:rPr>
        <w:t>电子衡器的每个部件。</w:t>
      </w:r>
    </w:p>
    <w:p w:rsidR="00145C72" w:rsidRPr="00B7031A" w:rsidRDefault="00145C72" w:rsidP="00BB04EA">
      <w:pPr>
        <w:spacing w:line="260" w:lineRule="exact"/>
        <w:ind w:firstLine="482"/>
        <w:rPr>
          <w:color w:val="FF0000"/>
        </w:rPr>
      </w:pPr>
      <w:r w:rsidRPr="00B7031A">
        <w:rPr>
          <w:rFonts w:hAnsi="宋体"/>
          <w:color w:val="FF0000"/>
        </w:rPr>
        <w:t>由制造商选择</w:t>
      </w:r>
      <w:r w:rsidRPr="00BB04EA">
        <w:rPr>
          <w:rFonts w:hAnsi="宋体"/>
        </w:rPr>
        <w:t>应用</w:t>
      </w:r>
      <w:r w:rsidRPr="00BB04EA">
        <w:rPr>
          <w:rFonts w:hint="eastAsia"/>
        </w:rPr>
        <w:t>7</w:t>
      </w:r>
      <w:r w:rsidRPr="00BB04EA">
        <w:t xml:space="preserve">.1.1 a) </w:t>
      </w:r>
      <w:r w:rsidRPr="00BB04EA">
        <w:rPr>
          <w:rFonts w:hAnsi="宋体"/>
        </w:rPr>
        <w:t>还是</w:t>
      </w:r>
      <w:r w:rsidRPr="00BB04EA">
        <w:rPr>
          <w:rFonts w:hint="eastAsia"/>
        </w:rPr>
        <w:t>7</w:t>
      </w:r>
      <w:r w:rsidRPr="00BB04EA">
        <w:t>.1.</w:t>
      </w:r>
      <w:r w:rsidRPr="00BB04EA">
        <w:rPr>
          <w:rFonts w:hint="eastAsia"/>
        </w:rPr>
        <w:t xml:space="preserve">1 </w:t>
      </w:r>
      <w:r w:rsidRPr="00BB04EA">
        <w:t>b)</w:t>
      </w:r>
      <w:r w:rsidRPr="00BB04EA">
        <w:rPr>
          <w:rFonts w:hAnsi="宋体"/>
        </w:rPr>
        <w:t>的要求。</w:t>
      </w:r>
    </w:p>
    <w:p w:rsidR="00145C72" w:rsidRDefault="00145C72" w:rsidP="00BB04EA">
      <w:pPr>
        <w:pStyle w:val="2"/>
        <w:spacing w:before="0" w:after="0" w:line="260" w:lineRule="exact"/>
        <w:rPr>
          <w:rFonts w:ascii="Times New Roman" w:hAnsi="Times New Roman"/>
          <w:color w:val="000000"/>
          <w:sz w:val="24"/>
          <w:szCs w:val="24"/>
        </w:rPr>
      </w:pPr>
      <w:bookmarkStart w:id="1" w:name="_Toc203880363"/>
      <w:bookmarkStart w:id="2" w:name="_Toc211331330"/>
      <w:bookmarkStart w:id="3" w:name="_Toc489902115"/>
      <w:r>
        <w:rPr>
          <w:rFonts w:ascii="Times New Roman" w:hAnsi="Times New Roman" w:hint="eastAsia"/>
          <w:color w:val="000000"/>
          <w:sz w:val="24"/>
          <w:szCs w:val="24"/>
        </w:rPr>
        <w:t xml:space="preserve">7.2  </w:t>
      </w:r>
      <w:r>
        <w:rPr>
          <w:rFonts w:ascii="Times New Roman" w:hAnsi="Times New Roman" w:hint="eastAsia"/>
          <w:color w:val="000000"/>
          <w:sz w:val="24"/>
          <w:szCs w:val="24"/>
        </w:rPr>
        <w:t>对显著增差的</w:t>
      </w:r>
      <w:bookmarkEnd w:id="1"/>
      <w:r>
        <w:rPr>
          <w:rFonts w:ascii="Times New Roman" w:hAnsi="Times New Roman" w:hint="eastAsia"/>
          <w:color w:val="000000"/>
          <w:sz w:val="24"/>
          <w:szCs w:val="24"/>
        </w:rPr>
        <w:t>反应</w:t>
      </w:r>
      <w:bookmarkEnd w:id="2"/>
      <w:bookmarkEnd w:id="3"/>
    </w:p>
    <w:p w:rsidR="00145C72" w:rsidRDefault="00145C72" w:rsidP="00BB04EA">
      <w:pPr>
        <w:snapToGrid w:val="0"/>
        <w:spacing w:line="260" w:lineRule="exact"/>
        <w:ind w:firstLine="482"/>
        <w:rPr>
          <w:color w:val="000000"/>
        </w:rPr>
      </w:pPr>
      <w:r>
        <w:rPr>
          <w:rFonts w:hint="eastAsia"/>
          <w:color w:val="000000"/>
        </w:rPr>
        <w:t>当检测到显著增差时，衡器应自动处于非工作状态，</w:t>
      </w:r>
      <w:r w:rsidRPr="00BB04EA">
        <w:rPr>
          <w:rFonts w:hint="eastAsia"/>
          <w:color w:val="FF0000"/>
        </w:rPr>
        <w:t>或自动提供一个可视的或可听到的信号</w:t>
      </w:r>
      <w:r>
        <w:rPr>
          <w:rFonts w:hint="eastAsia"/>
          <w:color w:val="000000"/>
        </w:rPr>
        <w:t>，并持续到使用者采取措施或显著增差消失为止。</w:t>
      </w:r>
    </w:p>
    <w:p w:rsidR="00242993" w:rsidRDefault="00242993"/>
    <w:p w:rsidR="00CF24B6" w:rsidRDefault="00BB04EA" w:rsidP="00FE7AC6">
      <w:pPr>
        <w:pStyle w:val="2"/>
        <w:spacing w:before="0" w:after="0" w:line="260" w:lineRule="exact"/>
        <w:rPr>
          <w:rFonts w:ascii="Times New Roman" w:hAnsi="Times New Roman"/>
          <w:color w:val="000000"/>
          <w:sz w:val="24"/>
          <w:szCs w:val="24"/>
        </w:rPr>
      </w:pPr>
      <w:r w:rsidRPr="00056AA3">
        <w:rPr>
          <w:rFonts w:hAnsi="宋体" w:cs="Arial" w:hint="eastAsia"/>
          <w:sz w:val="24"/>
        </w:rPr>
        <w:t>.</w:t>
      </w:r>
      <w:bookmarkStart w:id="4" w:name="_Toc196103170"/>
      <w:bookmarkStart w:id="5" w:name="_Toc196125373"/>
      <w:bookmarkStart w:id="6" w:name="_Toc196126243"/>
      <w:bookmarkStart w:id="7" w:name="_Toc196126353"/>
      <w:bookmarkStart w:id="8" w:name="_Toc196126682"/>
      <w:bookmarkStart w:id="9" w:name="_Toc196127010"/>
      <w:bookmarkStart w:id="10" w:name="_Toc203880366"/>
      <w:bookmarkStart w:id="11" w:name="_Toc211331333"/>
      <w:bookmarkStart w:id="12" w:name="_Toc489902118"/>
      <w:r w:rsidR="00CF24B6" w:rsidRPr="00CF24B6">
        <w:rPr>
          <w:rFonts w:ascii="Times New Roman" w:hAnsi="Times New Roman" w:hint="eastAsia"/>
          <w:color w:val="000000"/>
          <w:sz w:val="24"/>
          <w:szCs w:val="24"/>
        </w:rPr>
        <w:t xml:space="preserve"> </w:t>
      </w:r>
      <w:r w:rsidR="00CF24B6">
        <w:rPr>
          <w:rFonts w:ascii="Times New Roman" w:hAnsi="Times New Roman" w:hint="eastAsia"/>
          <w:color w:val="000000"/>
          <w:sz w:val="24"/>
          <w:szCs w:val="24"/>
        </w:rPr>
        <w:t xml:space="preserve">7.5  </w:t>
      </w:r>
      <w:r w:rsidR="00CF24B6">
        <w:rPr>
          <w:rFonts w:ascii="Times New Roman" w:hAnsi="Times New Roman" w:hint="eastAsia"/>
          <w:color w:val="000000"/>
          <w:sz w:val="24"/>
          <w:szCs w:val="24"/>
        </w:rPr>
        <w:t>软件控制的电子装置的附加要求</w:t>
      </w:r>
      <w:bookmarkEnd w:id="4"/>
      <w:bookmarkEnd w:id="5"/>
      <w:bookmarkEnd w:id="6"/>
      <w:bookmarkEnd w:id="7"/>
      <w:bookmarkEnd w:id="8"/>
      <w:bookmarkEnd w:id="9"/>
      <w:bookmarkEnd w:id="10"/>
      <w:bookmarkEnd w:id="11"/>
      <w:bookmarkEnd w:id="12"/>
    </w:p>
    <w:p w:rsidR="00CF24B6" w:rsidRDefault="00CF24B6" w:rsidP="00FE7AC6">
      <w:pPr>
        <w:pStyle w:val="3"/>
        <w:spacing w:before="0" w:after="0" w:line="260" w:lineRule="exact"/>
        <w:ind w:left="720" w:hanging="720"/>
        <w:rPr>
          <w:b w:val="0"/>
          <w:color w:val="000000"/>
          <w:sz w:val="24"/>
          <w:szCs w:val="24"/>
        </w:rPr>
      </w:pPr>
      <w:r>
        <w:rPr>
          <w:rFonts w:hint="eastAsia"/>
          <w:b w:val="0"/>
          <w:color w:val="000000"/>
          <w:sz w:val="24"/>
          <w:szCs w:val="24"/>
        </w:rPr>
        <w:t xml:space="preserve">7.5.1  </w:t>
      </w:r>
      <w:r>
        <w:rPr>
          <w:rFonts w:hint="eastAsia"/>
          <w:b w:val="0"/>
          <w:color w:val="000000"/>
          <w:sz w:val="24"/>
          <w:szCs w:val="24"/>
        </w:rPr>
        <w:t>带嵌入式软件的装置</w:t>
      </w:r>
    </w:p>
    <w:p w:rsidR="00CF24B6" w:rsidRDefault="00CF24B6" w:rsidP="00FE7AC6">
      <w:pPr>
        <w:spacing w:line="260" w:lineRule="exact"/>
        <w:ind w:firstLine="482"/>
        <w:rPr>
          <w:color w:val="000000"/>
        </w:rPr>
      </w:pPr>
      <w:r>
        <w:rPr>
          <w:rFonts w:hint="eastAsia"/>
          <w:color w:val="000000"/>
        </w:rPr>
        <w:t>对带嵌入式软件的衡器和模块，制造商应描述或声明衡器或模块的软件为嵌入式，即软件在固定的硬件和软件环境中运行，并且其在保护和</w:t>
      </w:r>
      <w:r>
        <w:rPr>
          <w:rFonts w:hint="eastAsia"/>
          <w:color w:val="000000"/>
        </w:rPr>
        <w:t>/</w:t>
      </w:r>
      <w:r>
        <w:rPr>
          <w:rFonts w:hint="eastAsia"/>
          <w:color w:val="000000"/>
        </w:rPr>
        <w:t>或检定后不能被修改或经接口或通过其他方法上传。</w:t>
      </w:r>
      <w:r>
        <w:rPr>
          <w:rFonts w:hint="eastAsia"/>
          <w:color w:val="000000"/>
        </w:rPr>
        <w:t xml:space="preserve"> </w:t>
      </w:r>
      <w:r>
        <w:rPr>
          <w:rFonts w:hint="eastAsia"/>
          <w:color w:val="000000"/>
        </w:rPr>
        <w:t>除</w:t>
      </w:r>
      <w:r>
        <w:rPr>
          <w:rFonts w:hint="eastAsia"/>
          <w:color w:val="000000"/>
        </w:rPr>
        <w:t>10.2.1.2</w:t>
      </w:r>
      <w:r>
        <w:rPr>
          <w:rFonts w:hint="eastAsia"/>
          <w:color w:val="000000"/>
        </w:rPr>
        <w:t>条要求的文件外，制造商还应提交以下附加文件：</w:t>
      </w:r>
    </w:p>
    <w:p w:rsidR="00CF24B6" w:rsidRDefault="00CF24B6" w:rsidP="00FE7AC6">
      <w:pPr>
        <w:pStyle w:val="30"/>
        <w:numPr>
          <w:ilvl w:val="0"/>
          <w:numId w:val="2"/>
        </w:numPr>
        <w:tabs>
          <w:tab w:val="left" w:pos="900"/>
          <w:tab w:val="left" w:pos="1140"/>
        </w:tabs>
        <w:spacing w:beforeLines="0" w:before="0" w:afterLines="0" w:after="0" w:line="260" w:lineRule="exact"/>
        <w:ind w:leftChars="225" w:left="833" w:hanging="360"/>
        <w:rPr>
          <w:color w:val="000000"/>
        </w:rPr>
      </w:pPr>
      <w:r>
        <w:rPr>
          <w:rFonts w:hint="eastAsia"/>
          <w:color w:val="000000"/>
        </w:rPr>
        <w:t>法制相关功能的描述；</w:t>
      </w:r>
    </w:p>
    <w:p w:rsidR="00CF24B6" w:rsidRDefault="00CF24B6" w:rsidP="00FE7AC6">
      <w:pPr>
        <w:pStyle w:val="30"/>
        <w:numPr>
          <w:ilvl w:val="0"/>
          <w:numId w:val="2"/>
        </w:numPr>
        <w:tabs>
          <w:tab w:val="left" w:pos="900"/>
          <w:tab w:val="left" w:pos="1140"/>
        </w:tabs>
        <w:spacing w:beforeLines="0" w:before="0" w:afterLines="0" w:after="0" w:line="260" w:lineRule="exact"/>
        <w:ind w:leftChars="225" w:left="833" w:hanging="360"/>
        <w:rPr>
          <w:color w:val="000000"/>
        </w:rPr>
      </w:pPr>
      <w:r>
        <w:rPr>
          <w:rFonts w:hint="eastAsia"/>
          <w:color w:val="000000"/>
        </w:rPr>
        <w:t>明确赋予法制相关功能的软件标识；</w:t>
      </w:r>
    </w:p>
    <w:p w:rsidR="00CF24B6" w:rsidRDefault="00CF24B6" w:rsidP="00FE7AC6">
      <w:pPr>
        <w:pStyle w:val="30"/>
        <w:numPr>
          <w:ilvl w:val="0"/>
          <w:numId w:val="2"/>
        </w:numPr>
        <w:tabs>
          <w:tab w:val="left" w:pos="900"/>
          <w:tab w:val="left" w:pos="1140"/>
        </w:tabs>
        <w:spacing w:beforeLines="0" w:before="0" w:afterLines="0" w:after="0" w:line="260" w:lineRule="exact"/>
        <w:ind w:leftChars="225" w:left="833" w:hanging="360"/>
        <w:rPr>
          <w:color w:val="000000"/>
        </w:rPr>
      </w:pPr>
      <w:r>
        <w:rPr>
          <w:rFonts w:hint="eastAsia"/>
          <w:color w:val="000000"/>
        </w:rPr>
        <w:t>对某个干预提供证据的预设保护措施。</w:t>
      </w:r>
    </w:p>
    <w:p w:rsidR="00CF24B6" w:rsidRDefault="00CF24B6" w:rsidP="00FE7AC6">
      <w:pPr>
        <w:spacing w:line="260" w:lineRule="exact"/>
        <w:ind w:firstLine="482"/>
        <w:rPr>
          <w:color w:val="000000"/>
        </w:rPr>
      </w:pPr>
      <w:r>
        <w:rPr>
          <w:rFonts w:hint="eastAsia"/>
          <w:color w:val="000000"/>
        </w:rPr>
        <w:t>衡器应提供软件标识并在型式批准证书中列出。</w:t>
      </w:r>
    </w:p>
    <w:p w:rsidR="00CF24B6" w:rsidRDefault="00CF24B6" w:rsidP="00FE7AC6">
      <w:pPr>
        <w:spacing w:line="260" w:lineRule="exact"/>
        <w:ind w:firstLine="482"/>
        <w:rPr>
          <w:color w:val="000000"/>
        </w:rPr>
      </w:pPr>
      <w:r>
        <w:rPr>
          <w:rFonts w:hint="eastAsia"/>
          <w:color w:val="000000"/>
        </w:rPr>
        <w:t>可采取的解决办法：</w:t>
      </w:r>
    </w:p>
    <w:p w:rsidR="00CF24B6" w:rsidRPr="00FE7AC6" w:rsidRDefault="00CF24B6" w:rsidP="00FE7AC6">
      <w:pPr>
        <w:spacing w:line="260" w:lineRule="exact"/>
        <w:ind w:firstLine="482"/>
        <w:rPr>
          <w:color w:val="FF0000"/>
        </w:rPr>
      </w:pPr>
      <w:r w:rsidRPr="00FE7AC6">
        <w:rPr>
          <w:rFonts w:hint="eastAsia"/>
          <w:color w:val="FF0000"/>
        </w:rPr>
        <w:t>可以用下列方法之一提供软件标识：</w:t>
      </w:r>
    </w:p>
    <w:p w:rsidR="00CF24B6" w:rsidRDefault="00CF24B6" w:rsidP="00FE7AC6">
      <w:pPr>
        <w:pStyle w:val="30"/>
        <w:numPr>
          <w:ilvl w:val="0"/>
          <w:numId w:val="2"/>
        </w:numPr>
        <w:tabs>
          <w:tab w:val="left" w:pos="900"/>
          <w:tab w:val="left" w:pos="1140"/>
        </w:tabs>
        <w:spacing w:beforeLines="0" w:before="0" w:afterLines="0" w:after="0" w:line="260" w:lineRule="exact"/>
        <w:ind w:leftChars="225" w:left="833" w:hanging="360"/>
        <w:rPr>
          <w:color w:val="000000"/>
        </w:rPr>
      </w:pPr>
      <w:r>
        <w:rPr>
          <w:rFonts w:hint="eastAsia"/>
          <w:color w:val="000000"/>
        </w:rPr>
        <w:t>在正常工作模式下，通过操作一个实际的或软的按键、按钮或开关获得清楚标识，或</w:t>
      </w:r>
    </w:p>
    <w:p w:rsidR="00CF24B6" w:rsidRDefault="00CF24B6" w:rsidP="00FE7AC6">
      <w:pPr>
        <w:pStyle w:val="30"/>
        <w:numPr>
          <w:ilvl w:val="0"/>
          <w:numId w:val="2"/>
        </w:numPr>
        <w:tabs>
          <w:tab w:val="left" w:pos="900"/>
          <w:tab w:val="left" w:pos="1140"/>
        </w:tabs>
        <w:spacing w:beforeLines="0" w:before="0" w:afterLines="0" w:after="0" w:line="260" w:lineRule="exact"/>
        <w:ind w:leftChars="225" w:left="833" w:hanging="360"/>
        <w:rPr>
          <w:color w:val="000000"/>
        </w:rPr>
      </w:pPr>
      <w:r>
        <w:rPr>
          <w:rFonts w:hint="eastAsia"/>
          <w:color w:val="000000"/>
        </w:rPr>
        <w:t>在正常工作模式下，连续</w:t>
      </w:r>
      <w:r w:rsidRPr="00CF24B6">
        <w:rPr>
          <w:rFonts w:hint="eastAsia"/>
          <w:color w:val="FF0000"/>
        </w:rPr>
        <w:t>显示版本号</w:t>
      </w:r>
      <w:r>
        <w:rPr>
          <w:rFonts w:hint="eastAsia"/>
          <w:color w:val="000000"/>
        </w:rPr>
        <w:t>或校验和等。</w:t>
      </w:r>
    </w:p>
    <w:p w:rsidR="00CF24B6" w:rsidRDefault="00CF24B6" w:rsidP="00FE7AC6">
      <w:pPr>
        <w:spacing w:line="260" w:lineRule="exact"/>
        <w:ind w:firstLine="482"/>
        <w:rPr>
          <w:color w:val="000000"/>
        </w:rPr>
      </w:pPr>
      <w:r>
        <w:rPr>
          <w:rFonts w:hint="eastAsia"/>
          <w:color w:val="000000"/>
        </w:rPr>
        <w:t>两种情形均要求带有清楚的说明书，说明如何对照标注在衡器上或由衡器显示出来的参考码（与型式批准证书中列出相同）检查实际的软件标识。</w:t>
      </w:r>
    </w:p>
    <w:p w:rsidR="00CF24B6" w:rsidRDefault="00CF24B6" w:rsidP="00BB04EA">
      <w:pPr>
        <w:adjustRightInd w:val="0"/>
        <w:snapToGrid w:val="0"/>
        <w:spacing w:beforeLines="50" w:before="156"/>
        <w:ind w:firstLineChars="200" w:firstLine="482"/>
        <w:rPr>
          <w:rFonts w:ascii="Arial" w:hAnsi="宋体" w:cs="Arial"/>
          <w:b/>
          <w:bCs/>
          <w:sz w:val="24"/>
        </w:rPr>
      </w:pPr>
    </w:p>
    <w:p w:rsidR="00BB04EA" w:rsidRPr="00056AA3" w:rsidRDefault="00BB04EA" w:rsidP="00BB04EA">
      <w:pPr>
        <w:adjustRightInd w:val="0"/>
        <w:snapToGrid w:val="0"/>
        <w:spacing w:beforeLines="50" w:before="156"/>
        <w:ind w:firstLineChars="200" w:firstLine="482"/>
        <w:rPr>
          <w:rFonts w:ascii="Arial" w:hAnsi="Arial" w:cs="Arial"/>
          <w:b/>
          <w:bCs/>
          <w:sz w:val="24"/>
        </w:rPr>
      </w:pPr>
      <w:r w:rsidRPr="00056AA3">
        <w:rPr>
          <w:rFonts w:ascii="Arial" w:hAnsi="宋体" w:cs="Arial" w:hint="eastAsia"/>
          <w:b/>
          <w:bCs/>
          <w:sz w:val="24"/>
        </w:rPr>
        <w:t xml:space="preserve">3 </w:t>
      </w:r>
      <w:r w:rsidRPr="00056AA3">
        <w:rPr>
          <w:rFonts w:ascii="Arial" w:hAnsi="宋体" w:cs="Arial"/>
          <w:b/>
          <w:bCs/>
          <w:sz w:val="24"/>
        </w:rPr>
        <w:t>附录</w:t>
      </w:r>
      <w:r w:rsidRPr="00056AA3">
        <w:rPr>
          <w:rFonts w:ascii="Arial" w:hAnsi="Arial" w:cs="Arial"/>
          <w:b/>
          <w:bCs/>
          <w:sz w:val="24"/>
        </w:rPr>
        <w:t>G</w:t>
      </w:r>
      <w:r w:rsidRPr="00056AA3">
        <w:rPr>
          <w:rFonts w:ascii="Arial" w:hAnsi="宋体" w:cs="Arial"/>
          <w:b/>
          <w:bCs/>
          <w:sz w:val="24"/>
        </w:rPr>
        <w:t>：对软件控制的数字装置和衡器的附加检查和试验</w:t>
      </w:r>
    </w:p>
    <w:p w:rsidR="00BB04EA" w:rsidRPr="009B3D44" w:rsidRDefault="00BB04EA" w:rsidP="00BB04EA">
      <w:pPr>
        <w:adjustRightInd w:val="0"/>
        <w:snapToGrid w:val="0"/>
        <w:spacing w:beforeLines="50" w:before="156" w:after="120"/>
        <w:ind w:firstLineChars="200" w:firstLine="480"/>
        <w:rPr>
          <w:rFonts w:ascii="Arial" w:hAnsi="Arial" w:cs="Arial"/>
          <w:sz w:val="24"/>
        </w:rPr>
      </w:pPr>
      <w:r w:rsidRPr="009B3D44">
        <w:rPr>
          <w:rFonts w:ascii="Arial" w:hAnsi="宋体" w:cs="Arial"/>
          <w:sz w:val="24"/>
        </w:rPr>
        <w:t>对基于</w:t>
      </w:r>
      <w:r w:rsidRPr="009B3D44">
        <w:rPr>
          <w:rFonts w:ascii="Arial" w:hAnsi="Arial" w:cs="Arial"/>
          <w:sz w:val="24"/>
        </w:rPr>
        <w:t>PC</w:t>
      </w:r>
      <w:r w:rsidRPr="009B3D44">
        <w:rPr>
          <w:rFonts w:ascii="Arial" w:hAnsi="宋体" w:cs="Arial"/>
          <w:sz w:val="24"/>
        </w:rPr>
        <w:t>的非自动衡器的法制相关软件应符合下列要求：</w:t>
      </w:r>
    </w:p>
    <w:p w:rsidR="00BB04EA" w:rsidRPr="009B3D44" w:rsidRDefault="00BB04EA" w:rsidP="00BB04EA">
      <w:pPr>
        <w:adjustRightInd w:val="0"/>
        <w:snapToGrid w:val="0"/>
        <w:spacing w:beforeLines="50" w:before="156" w:afterLines="50" w:after="156"/>
        <w:ind w:firstLineChars="200" w:firstLine="480"/>
        <w:rPr>
          <w:rFonts w:ascii="Arial" w:hAnsi="Arial" w:cs="Arial"/>
          <w:sz w:val="24"/>
        </w:rPr>
      </w:pPr>
      <w:r w:rsidRPr="009B3D44">
        <w:rPr>
          <w:rFonts w:ascii="Arial" w:hAnsi="Arial" w:cs="Arial"/>
          <w:sz w:val="24"/>
        </w:rPr>
        <w:t xml:space="preserve">a. </w:t>
      </w:r>
      <w:r w:rsidRPr="009B3D44">
        <w:rPr>
          <w:rFonts w:ascii="Arial" w:hAnsi="宋体" w:cs="Arial"/>
          <w:sz w:val="24"/>
        </w:rPr>
        <w:t>法制相关软件应能充分防止意外或恶意修改，能够提供直至下次检定或检查前对法制相关软件所进行的诸如更改、上传或绕开等干预的证据。通常假定使用者不能改变法制相关参数和数据，尤其是经处理过的变量值，这些值只要经程序处理，就能满足衡器的功能要求。然而，如果法制相关参数和数据，特别是最终的变量值，从受保护软件的内部向外传输，则应对它们加以保护。且如果通用软件工具不能对法制相关软件中所有数据、参数、变量值等进行更改，则认为</w:t>
      </w:r>
      <w:r w:rsidRPr="009B3D44">
        <w:rPr>
          <w:rFonts w:ascii="Arial" w:hAnsi="宋体" w:cs="Arial"/>
          <w:sz w:val="24"/>
        </w:rPr>
        <w:lastRenderedPageBreak/>
        <w:t>他们得到了充分保护。例如，当前所有使用的文本编辑类软件认为是通用软件工具。而用特殊软件工具防止恶意更改不属于本规程要求的范畴，因为恶意更改被认为是违法行为。</w:t>
      </w:r>
    </w:p>
    <w:p w:rsidR="00BB04EA" w:rsidRPr="009B3D44" w:rsidRDefault="00BB04EA" w:rsidP="00BB04EA">
      <w:pPr>
        <w:adjustRightInd w:val="0"/>
        <w:snapToGrid w:val="0"/>
        <w:spacing w:beforeLines="50" w:before="156" w:afterLines="50" w:after="156"/>
        <w:ind w:firstLineChars="200" w:firstLine="480"/>
        <w:rPr>
          <w:rFonts w:ascii="Arial" w:hAnsi="Arial" w:cs="Arial"/>
          <w:sz w:val="24"/>
        </w:rPr>
      </w:pPr>
      <w:r w:rsidRPr="009B3D44">
        <w:rPr>
          <w:rFonts w:ascii="Arial" w:hAnsi="Arial" w:cs="Arial"/>
          <w:sz w:val="24"/>
        </w:rPr>
        <w:t xml:space="preserve">b. </w:t>
      </w:r>
      <w:r w:rsidRPr="001F1B10">
        <w:rPr>
          <w:rFonts w:ascii="Arial" w:hAnsi="宋体" w:cs="Arial"/>
          <w:color w:val="FF0000"/>
          <w:sz w:val="24"/>
        </w:rPr>
        <w:t>若存在除计量功能外执行其他功能的关联软件时，法制相关软件应能被识别且不应受关联软件的影响。</w:t>
      </w:r>
      <w:r w:rsidRPr="009B3D44">
        <w:rPr>
          <w:rFonts w:ascii="Arial" w:hAnsi="宋体" w:cs="Arial"/>
          <w:sz w:val="24"/>
        </w:rPr>
        <w:t>在某种意义上关联软件与法制相关软件是分割的，它们相互间通过软件接口进行通讯。如果软件接口满足下列要求则认为是处于保护状态：</w:t>
      </w:r>
    </w:p>
    <w:p w:rsidR="00BB04EA" w:rsidRPr="009B3D44" w:rsidRDefault="00BB04EA" w:rsidP="00BB04EA">
      <w:pPr>
        <w:numPr>
          <w:ilvl w:val="0"/>
          <w:numId w:val="1"/>
        </w:numPr>
        <w:adjustRightInd w:val="0"/>
        <w:snapToGrid w:val="0"/>
        <w:spacing w:beforeLines="50" w:before="156" w:afterLines="50" w:after="156"/>
        <w:ind w:firstLine="6"/>
        <w:rPr>
          <w:rFonts w:ascii="Arial" w:hAnsi="Arial" w:cs="Arial"/>
          <w:sz w:val="24"/>
        </w:rPr>
      </w:pPr>
      <w:r w:rsidRPr="009B3D44">
        <w:rPr>
          <w:rFonts w:ascii="Arial" w:hAnsi="宋体" w:cs="Arial"/>
          <w:sz w:val="24"/>
        </w:rPr>
        <w:t>按照</w:t>
      </w:r>
      <w:r w:rsidRPr="009B3D44">
        <w:rPr>
          <w:rFonts w:ascii="Arial" w:hAnsi="Arial" w:cs="Arial"/>
          <w:sz w:val="24"/>
        </w:rPr>
        <w:t>OIML R76-1</w:t>
      </w:r>
      <w:r w:rsidRPr="009B3D44">
        <w:rPr>
          <w:rFonts w:ascii="Arial" w:hAnsi="宋体" w:cs="Arial"/>
          <w:sz w:val="24"/>
        </w:rPr>
        <w:t>的规定，只有被定义和允许的参数、功能和数据才可以经该接口进行交换；</w:t>
      </w:r>
    </w:p>
    <w:p w:rsidR="00BB04EA" w:rsidRPr="009B3D44" w:rsidRDefault="00BB04EA" w:rsidP="00BB04EA">
      <w:pPr>
        <w:numPr>
          <w:ilvl w:val="0"/>
          <w:numId w:val="1"/>
        </w:numPr>
        <w:adjustRightInd w:val="0"/>
        <w:snapToGrid w:val="0"/>
        <w:spacing w:beforeLines="50" w:before="156" w:afterLines="50" w:after="156"/>
        <w:ind w:firstLine="6"/>
        <w:rPr>
          <w:rFonts w:ascii="Arial" w:hAnsi="Arial" w:cs="Arial"/>
          <w:sz w:val="24"/>
        </w:rPr>
      </w:pPr>
      <w:r w:rsidRPr="009B3D44">
        <w:rPr>
          <w:rFonts w:ascii="Arial" w:hAnsi="宋体" w:cs="Arial"/>
          <w:sz w:val="24"/>
        </w:rPr>
        <w:t>这两个部分不能通过其他连接进行信息交换。</w:t>
      </w:r>
    </w:p>
    <w:p w:rsidR="00BB04EA" w:rsidRPr="009B3D44" w:rsidRDefault="00BB04EA" w:rsidP="00BB04EA">
      <w:pPr>
        <w:adjustRightInd w:val="0"/>
        <w:snapToGrid w:val="0"/>
        <w:spacing w:beforeLines="50" w:before="156" w:afterLines="50" w:after="156"/>
        <w:ind w:firstLine="420"/>
        <w:rPr>
          <w:rFonts w:ascii="Arial" w:hAnsi="Arial" w:cs="Arial"/>
          <w:sz w:val="24"/>
        </w:rPr>
      </w:pPr>
      <w:r w:rsidRPr="009B3D44">
        <w:rPr>
          <w:rFonts w:ascii="Arial" w:hAnsi="宋体" w:cs="Arial"/>
          <w:sz w:val="24"/>
        </w:rPr>
        <w:t>软件接口是法制相关软件的组成部分，使用者绕过保护性接口的操作认为是一种违法行为。</w:t>
      </w:r>
    </w:p>
    <w:p w:rsidR="00BB04EA" w:rsidRPr="009B3D44" w:rsidRDefault="00BB04EA" w:rsidP="00BB04EA">
      <w:pPr>
        <w:adjustRightInd w:val="0"/>
        <w:snapToGrid w:val="0"/>
        <w:spacing w:beforeLines="50" w:before="156" w:afterLines="50" w:after="156"/>
        <w:ind w:firstLineChars="200" w:firstLine="480"/>
        <w:rPr>
          <w:rFonts w:ascii="Arial" w:hAnsi="Arial" w:cs="Arial"/>
          <w:sz w:val="24"/>
        </w:rPr>
      </w:pPr>
      <w:r w:rsidRPr="009B3D44">
        <w:rPr>
          <w:rFonts w:ascii="Arial" w:hAnsi="Arial" w:cs="Arial"/>
          <w:sz w:val="24"/>
        </w:rPr>
        <w:t xml:space="preserve">c. </w:t>
      </w:r>
      <w:r w:rsidRPr="009B3D44">
        <w:rPr>
          <w:rFonts w:ascii="Arial" w:hAnsi="宋体" w:cs="Arial"/>
          <w:sz w:val="24"/>
        </w:rPr>
        <w:t>法制相关软件应被识别和保护，其标识应通过某个装置能方便获得，以用于计量管理和检查。</w:t>
      </w:r>
    </w:p>
    <w:p w:rsidR="00BB04EA" w:rsidRPr="009B3D44" w:rsidRDefault="00BB04EA" w:rsidP="00BB04EA">
      <w:pPr>
        <w:adjustRightInd w:val="0"/>
        <w:snapToGrid w:val="0"/>
        <w:spacing w:beforeLines="50" w:before="156" w:afterLines="50" w:after="156"/>
        <w:ind w:firstLineChars="200" w:firstLine="480"/>
        <w:rPr>
          <w:rFonts w:ascii="Arial" w:hAnsi="Arial" w:cs="Arial"/>
          <w:sz w:val="24"/>
        </w:rPr>
      </w:pPr>
      <w:r w:rsidRPr="009B3D44">
        <w:rPr>
          <w:rFonts w:ascii="Arial" w:hAnsi="Arial" w:cs="Arial"/>
          <w:sz w:val="24"/>
        </w:rPr>
        <w:t xml:space="preserve">d. </w:t>
      </w:r>
      <w:r w:rsidRPr="009B3D44">
        <w:rPr>
          <w:rFonts w:ascii="Arial" w:hAnsi="宋体" w:cs="Arial"/>
          <w:sz w:val="24"/>
        </w:rPr>
        <w:t>除规程中规定的说明性文件外，还应包括专门的软件文件：</w:t>
      </w:r>
      <w:r w:rsidRPr="001F1B10">
        <w:rPr>
          <w:rFonts w:ascii="Arial" w:hAnsi="宋体" w:cs="Arial"/>
          <w:color w:val="FF0000"/>
          <w:sz w:val="24"/>
        </w:rPr>
        <w:t>如：提供硬件系统说明，框图，</w:t>
      </w:r>
      <w:r w:rsidRPr="009B3D44">
        <w:rPr>
          <w:rFonts w:ascii="Arial" w:hAnsi="宋体" w:cs="Arial"/>
          <w:sz w:val="24"/>
        </w:rPr>
        <w:t>计算机型号，网络类型；法制相关软件的软件环境说明，如，操作系统，驱动要求等；所有法制相关软件功能说明，法制相关参数，确定衡器功能的开关和键，包括该说明的完整性声明；有关测量运算规则的说明（例如：稳定平衡，价格计算，化整规则）；有关菜单和对话框的说明；</w:t>
      </w:r>
      <w:r w:rsidRPr="009B3D44">
        <w:rPr>
          <w:rFonts w:ascii="Arial" w:hAnsi="Arial" w:cs="Arial"/>
          <w:sz w:val="24"/>
        </w:rPr>
        <w:t xml:space="preserve"> </w:t>
      </w:r>
      <w:r w:rsidRPr="009B3D44">
        <w:rPr>
          <w:rFonts w:ascii="Arial" w:hAnsi="宋体" w:cs="Arial"/>
          <w:sz w:val="24"/>
        </w:rPr>
        <w:t>预设的保护措施（如，校验和，签名，审核跟踪）；</w:t>
      </w:r>
      <w:r w:rsidRPr="009B3D44">
        <w:rPr>
          <w:rFonts w:ascii="Arial" w:hAnsi="Arial" w:cs="Arial"/>
          <w:sz w:val="24"/>
        </w:rPr>
        <w:t xml:space="preserve"> </w:t>
      </w:r>
      <w:r w:rsidRPr="009B3D44">
        <w:rPr>
          <w:rFonts w:ascii="Arial" w:hAnsi="宋体" w:cs="Arial"/>
          <w:sz w:val="24"/>
        </w:rPr>
        <w:t>整套命令集和参数，包括通过受保护的软件接口在法制相关软件和关联软件间交换的每条命令和参数命令的简短说明，包括该清单的完整性声明；法制相关软件预设的软件标识；如预先确定由调制解调器或互连网下载软件：软件下载过程和阻止意外或恶意修改安全保护措施的详细说明；如没有预先确定由调制解调器或互连网下载软件：说明采取防止不能允许的加载法制相关软件的措施；经网络传输或长期存储数据：数据组和保护措施的描述。</w:t>
      </w:r>
    </w:p>
    <w:p w:rsidR="00BB04EA" w:rsidRPr="00BB04EA" w:rsidRDefault="00BB04EA"/>
    <w:sectPr w:rsidR="00BB04EA" w:rsidRPr="00BB04E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3C08" w:rsidRDefault="00DF3C08" w:rsidP="00145C72">
      <w:r>
        <w:separator/>
      </w:r>
    </w:p>
  </w:endnote>
  <w:endnote w:type="continuationSeparator" w:id="0">
    <w:p w:rsidR="00DF3C08" w:rsidRDefault="00DF3C08" w:rsidP="00145C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3C08" w:rsidRDefault="00DF3C08" w:rsidP="00145C72">
      <w:r>
        <w:separator/>
      </w:r>
    </w:p>
  </w:footnote>
  <w:footnote w:type="continuationSeparator" w:id="0">
    <w:p w:rsidR="00DF3C08" w:rsidRDefault="00DF3C08" w:rsidP="00145C7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AE1766"/>
    <w:multiLevelType w:val="multilevel"/>
    <w:tmpl w:val="39AE1766"/>
    <w:lvl w:ilvl="0">
      <w:start w:val="1"/>
      <w:numFmt w:val="bullet"/>
      <w:lvlText w:val=""/>
      <w:lvlJc w:val="left"/>
      <w:pPr>
        <w:tabs>
          <w:tab w:val="num" w:pos="1140"/>
        </w:tabs>
        <w:ind w:left="1140" w:hanging="420"/>
      </w:pPr>
      <w:rPr>
        <w:rFonts w:ascii="Wingdings" w:hAnsi="Wingdings" w:hint="default"/>
        <w:sz w:val="10"/>
        <w:szCs w:val="10"/>
      </w:rPr>
    </w:lvl>
    <w:lvl w:ilvl="1">
      <w:start w:val="1"/>
      <w:numFmt w:val="bullet"/>
      <w:lvlText w:val=""/>
      <w:lvlJc w:val="left"/>
      <w:pPr>
        <w:tabs>
          <w:tab w:val="num" w:pos="1200"/>
        </w:tabs>
        <w:ind w:left="1200" w:hanging="420"/>
      </w:pPr>
      <w:rPr>
        <w:rFonts w:ascii="Wingdings" w:hAnsi="Wingdings" w:hint="default"/>
        <w:sz w:val="18"/>
        <w:szCs w:val="18"/>
      </w:rPr>
    </w:lvl>
    <w:lvl w:ilvl="2">
      <w:start w:val="1"/>
      <w:numFmt w:val="bullet"/>
      <w:lvlText w:val=""/>
      <w:lvlJc w:val="left"/>
      <w:pPr>
        <w:tabs>
          <w:tab w:val="num" w:pos="1620"/>
        </w:tabs>
        <w:ind w:left="1620" w:hanging="420"/>
      </w:pPr>
      <w:rPr>
        <w:rFonts w:ascii="Wingdings" w:hAnsi="Wingdings" w:hint="default"/>
      </w:rPr>
    </w:lvl>
    <w:lvl w:ilvl="3">
      <w:start w:val="1"/>
      <w:numFmt w:val="bullet"/>
      <w:lvlText w:val=""/>
      <w:lvlJc w:val="left"/>
      <w:pPr>
        <w:tabs>
          <w:tab w:val="num" w:pos="2040"/>
        </w:tabs>
        <w:ind w:left="2040" w:hanging="420"/>
      </w:pPr>
      <w:rPr>
        <w:rFonts w:ascii="Wingdings" w:hAnsi="Wingdings" w:hint="default"/>
      </w:rPr>
    </w:lvl>
    <w:lvl w:ilvl="4">
      <w:start w:val="1"/>
      <w:numFmt w:val="bullet"/>
      <w:lvlText w:val=""/>
      <w:lvlJc w:val="left"/>
      <w:pPr>
        <w:tabs>
          <w:tab w:val="num" w:pos="2460"/>
        </w:tabs>
        <w:ind w:left="2460" w:hanging="420"/>
      </w:pPr>
      <w:rPr>
        <w:rFonts w:ascii="Wingdings" w:hAnsi="Wingdings" w:hint="default"/>
      </w:rPr>
    </w:lvl>
    <w:lvl w:ilvl="5">
      <w:start w:val="1"/>
      <w:numFmt w:val="bullet"/>
      <w:lvlText w:val=""/>
      <w:lvlJc w:val="left"/>
      <w:pPr>
        <w:tabs>
          <w:tab w:val="num" w:pos="2880"/>
        </w:tabs>
        <w:ind w:left="2880" w:hanging="420"/>
      </w:pPr>
      <w:rPr>
        <w:rFonts w:ascii="Wingdings" w:hAnsi="Wingdings" w:hint="default"/>
      </w:rPr>
    </w:lvl>
    <w:lvl w:ilvl="6">
      <w:start w:val="1"/>
      <w:numFmt w:val="bullet"/>
      <w:lvlText w:val=""/>
      <w:lvlJc w:val="left"/>
      <w:pPr>
        <w:tabs>
          <w:tab w:val="num" w:pos="3300"/>
        </w:tabs>
        <w:ind w:left="3300" w:hanging="420"/>
      </w:pPr>
      <w:rPr>
        <w:rFonts w:ascii="Wingdings" w:hAnsi="Wingdings" w:hint="default"/>
      </w:rPr>
    </w:lvl>
    <w:lvl w:ilvl="7">
      <w:start w:val="1"/>
      <w:numFmt w:val="bullet"/>
      <w:lvlText w:val=""/>
      <w:lvlJc w:val="left"/>
      <w:pPr>
        <w:tabs>
          <w:tab w:val="num" w:pos="3720"/>
        </w:tabs>
        <w:ind w:left="3720" w:hanging="420"/>
      </w:pPr>
      <w:rPr>
        <w:rFonts w:ascii="Wingdings" w:hAnsi="Wingdings" w:hint="default"/>
      </w:rPr>
    </w:lvl>
    <w:lvl w:ilvl="8">
      <w:start w:val="1"/>
      <w:numFmt w:val="bullet"/>
      <w:lvlText w:val=""/>
      <w:lvlJc w:val="left"/>
      <w:pPr>
        <w:tabs>
          <w:tab w:val="num" w:pos="4140"/>
        </w:tabs>
        <w:ind w:left="4140" w:hanging="420"/>
      </w:pPr>
      <w:rPr>
        <w:rFonts w:ascii="Wingdings" w:hAnsi="Wingdings" w:hint="default"/>
      </w:rPr>
    </w:lvl>
  </w:abstractNum>
  <w:abstractNum w:abstractNumId="1">
    <w:nsid w:val="573C5833"/>
    <w:multiLevelType w:val="hybridMultilevel"/>
    <w:tmpl w:val="C7FC9186"/>
    <w:lvl w:ilvl="0" w:tplc="780E44B2">
      <w:start w:val="1"/>
      <w:numFmt w:val="bullet"/>
      <w:lvlText w:val=""/>
      <w:lvlJc w:val="left"/>
      <w:pPr>
        <w:tabs>
          <w:tab w:val="num" w:pos="420"/>
        </w:tabs>
        <w:ind w:left="420" w:hanging="420"/>
      </w:pPr>
      <w:rPr>
        <w:rFonts w:ascii="Wingdings" w:hAnsi="Wingdings" w:hint="default"/>
        <w:sz w:val="18"/>
        <w:szCs w:val="18"/>
      </w:rPr>
    </w:lvl>
    <w:lvl w:ilvl="1" w:tplc="04090003" w:tentative="1">
      <w:start w:val="1"/>
      <w:numFmt w:val="bullet"/>
      <w:lvlText w:val=""/>
      <w:lvlJc w:val="left"/>
      <w:pPr>
        <w:tabs>
          <w:tab w:val="num" w:pos="480"/>
        </w:tabs>
        <w:ind w:left="480" w:hanging="420"/>
      </w:pPr>
      <w:rPr>
        <w:rFonts w:ascii="Wingdings" w:hAnsi="Wingdings" w:hint="default"/>
      </w:rPr>
    </w:lvl>
    <w:lvl w:ilvl="2" w:tplc="04090005" w:tentative="1">
      <w:start w:val="1"/>
      <w:numFmt w:val="bullet"/>
      <w:lvlText w:val=""/>
      <w:lvlJc w:val="left"/>
      <w:pPr>
        <w:tabs>
          <w:tab w:val="num" w:pos="900"/>
        </w:tabs>
        <w:ind w:left="900" w:hanging="420"/>
      </w:pPr>
      <w:rPr>
        <w:rFonts w:ascii="Wingdings" w:hAnsi="Wingdings" w:hint="default"/>
      </w:rPr>
    </w:lvl>
    <w:lvl w:ilvl="3" w:tplc="04090001" w:tentative="1">
      <w:start w:val="1"/>
      <w:numFmt w:val="bullet"/>
      <w:lvlText w:val=""/>
      <w:lvlJc w:val="left"/>
      <w:pPr>
        <w:tabs>
          <w:tab w:val="num" w:pos="1320"/>
        </w:tabs>
        <w:ind w:left="1320" w:hanging="420"/>
      </w:pPr>
      <w:rPr>
        <w:rFonts w:ascii="Wingdings" w:hAnsi="Wingdings" w:hint="default"/>
      </w:rPr>
    </w:lvl>
    <w:lvl w:ilvl="4" w:tplc="04090003" w:tentative="1">
      <w:start w:val="1"/>
      <w:numFmt w:val="bullet"/>
      <w:lvlText w:val=""/>
      <w:lvlJc w:val="left"/>
      <w:pPr>
        <w:tabs>
          <w:tab w:val="num" w:pos="1740"/>
        </w:tabs>
        <w:ind w:left="1740" w:hanging="420"/>
      </w:pPr>
      <w:rPr>
        <w:rFonts w:ascii="Wingdings" w:hAnsi="Wingdings" w:hint="default"/>
      </w:rPr>
    </w:lvl>
    <w:lvl w:ilvl="5" w:tplc="04090005" w:tentative="1">
      <w:start w:val="1"/>
      <w:numFmt w:val="bullet"/>
      <w:lvlText w:val=""/>
      <w:lvlJc w:val="left"/>
      <w:pPr>
        <w:tabs>
          <w:tab w:val="num" w:pos="2160"/>
        </w:tabs>
        <w:ind w:left="2160" w:hanging="420"/>
      </w:pPr>
      <w:rPr>
        <w:rFonts w:ascii="Wingdings" w:hAnsi="Wingdings" w:hint="default"/>
      </w:rPr>
    </w:lvl>
    <w:lvl w:ilvl="6" w:tplc="04090001" w:tentative="1">
      <w:start w:val="1"/>
      <w:numFmt w:val="bullet"/>
      <w:lvlText w:val=""/>
      <w:lvlJc w:val="left"/>
      <w:pPr>
        <w:tabs>
          <w:tab w:val="num" w:pos="2580"/>
        </w:tabs>
        <w:ind w:left="2580" w:hanging="420"/>
      </w:pPr>
      <w:rPr>
        <w:rFonts w:ascii="Wingdings" w:hAnsi="Wingdings" w:hint="default"/>
      </w:rPr>
    </w:lvl>
    <w:lvl w:ilvl="7" w:tplc="04090003" w:tentative="1">
      <w:start w:val="1"/>
      <w:numFmt w:val="bullet"/>
      <w:lvlText w:val=""/>
      <w:lvlJc w:val="left"/>
      <w:pPr>
        <w:tabs>
          <w:tab w:val="num" w:pos="3000"/>
        </w:tabs>
        <w:ind w:left="3000" w:hanging="420"/>
      </w:pPr>
      <w:rPr>
        <w:rFonts w:ascii="Wingdings" w:hAnsi="Wingdings" w:hint="default"/>
      </w:rPr>
    </w:lvl>
    <w:lvl w:ilvl="8" w:tplc="04090005" w:tentative="1">
      <w:start w:val="1"/>
      <w:numFmt w:val="bullet"/>
      <w:lvlText w:val=""/>
      <w:lvlJc w:val="left"/>
      <w:pPr>
        <w:tabs>
          <w:tab w:val="num" w:pos="3420"/>
        </w:tabs>
        <w:ind w:left="342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3195"/>
    <w:rsid w:val="0010132D"/>
    <w:rsid w:val="001212BA"/>
    <w:rsid w:val="00145C72"/>
    <w:rsid w:val="00242993"/>
    <w:rsid w:val="00990055"/>
    <w:rsid w:val="00A23BC3"/>
    <w:rsid w:val="00A73195"/>
    <w:rsid w:val="00BB04EA"/>
    <w:rsid w:val="00CF24B6"/>
    <w:rsid w:val="00DF3C08"/>
    <w:rsid w:val="00FC7966"/>
    <w:rsid w:val="00FE7A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5C72"/>
    <w:pPr>
      <w:widowControl w:val="0"/>
      <w:jc w:val="both"/>
    </w:pPr>
    <w:rPr>
      <w:rFonts w:ascii="Times New Roman" w:eastAsia="宋体" w:hAnsi="Times New Roman" w:cs="Times New Roman"/>
      <w:szCs w:val="24"/>
    </w:rPr>
  </w:style>
  <w:style w:type="paragraph" w:styleId="2">
    <w:name w:val="heading 2"/>
    <w:basedOn w:val="a"/>
    <w:next w:val="a"/>
    <w:link w:val="2Char"/>
    <w:qFormat/>
    <w:rsid w:val="00145C72"/>
    <w:pPr>
      <w:keepNext/>
      <w:keepLines/>
      <w:spacing w:before="260" w:after="260" w:line="416" w:lineRule="auto"/>
      <w:outlineLvl w:val="1"/>
    </w:pPr>
    <w:rPr>
      <w:rFonts w:ascii="Arial" w:eastAsia="黑体" w:hAnsi="Arial"/>
      <w:b/>
      <w:bCs/>
      <w:sz w:val="32"/>
      <w:szCs w:val="32"/>
    </w:rPr>
  </w:style>
  <w:style w:type="paragraph" w:styleId="3">
    <w:name w:val="heading 3"/>
    <w:basedOn w:val="a"/>
    <w:next w:val="a"/>
    <w:link w:val="3Char1"/>
    <w:qFormat/>
    <w:rsid w:val="00145C72"/>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45C7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45C72"/>
    <w:rPr>
      <w:sz w:val="18"/>
      <w:szCs w:val="18"/>
    </w:rPr>
  </w:style>
  <w:style w:type="paragraph" w:styleId="a4">
    <w:name w:val="footer"/>
    <w:basedOn w:val="a"/>
    <w:link w:val="Char0"/>
    <w:uiPriority w:val="99"/>
    <w:unhideWhenUsed/>
    <w:rsid w:val="00145C72"/>
    <w:pPr>
      <w:tabs>
        <w:tab w:val="center" w:pos="4153"/>
        <w:tab w:val="right" w:pos="8306"/>
      </w:tabs>
      <w:snapToGrid w:val="0"/>
      <w:jc w:val="left"/>
    </w:pPr>
    <w:rPr>
      <w:sz w:val="18"/>
      <w:szCs w:val="18"/>
    </w:rPr>
  </w:style>
  <w:style w:type="character" w:customStyle="1" w:styleId="Char0">
    <w:name w:val="页脚 Char"/>
    <w:basedOn w:val="a0"/>
    <w:link w:val="a4"/>
    <w:uiPriority w:val="99"/>
    <w:rsid w:val="00145C72"/>
    <w:rPr>
      <w:sz w:val="18"/>
      <w:szCs w:val="18"/>
    </w:rPr>
  </w:style>
  <w:style w:type="character" w:customStyle="1" w:styleId="2Char">
    <w:name w:val="标题 2 Char"/>
    <w:basedOn w:val="a0"/>
    <w:link w:val="2"/>
    <w:rsid w:val="00145C72"/>
    <w:rPr>
      <w:rFonts w:ascii="Arial" w:eastAsia="黑体" w:hAnsi="Arial" w:cs="Times New Roman"/>
      <w:b/>
      <w:bCs/>
      <w:sz w:val="32"/>
      <w:szCs w:val="32"/>
    </w:rPr>
  </w:style>
  <w:style w:type="character" w:customStyle="1" w:styleId="3Char">
    <w:name w:val="标题 3 Char"/>
    <w:basedOn w:val="a0"/>
    <w:uiPriority w:val="9"/>
    <w:semiHidden/>
    <w:rsid w:val="00145C72"/>
    <w:rPr>
      <w:rFonts w:ascii="Times New Roman" w:eastAsia="宋体" w:hAnsi="Times New Roman" w:cs="Times New Roman"/>
      <w:b/>
      <w:bCs/>
      <w:sz w:val="32"/>
      <w:szCs w:val="32"/>
    </w:rPr>
  </w:style>
  <w:style w:type="character" w:customStyle="1" w:styleId="3Char1">
    <w:name w:val="标题 3 Char1"/>
    <w:link w:val="3"/>
    <w:locked/>
    <w:rsid w:val="00145C72"/>
    <w:rPr>
      <w:rFonts w:ascii="Times New Roman" w:eastAsia="宋体" w:hAnsi="Times New Roman" w:cs="Times New Roman"/>
      <w:b/>
      <w:bCs/>
      <w:sz w:val="32"/>
      <w:szCs w:val="32"/>
    </w:rPr>
  </w:style>
  <w:style w:type="character" w:customStyle="1" w:styleId="Char1">
    <w:name w:val="脚注 Char"/>
    <w:link w:val="a5"/>
    <w:rsid w:val="00145C72"/>
    <w:rPr>
      <w:rFonts w:eastAsia="仿宋_GB2312" w:cs="宋体"/>
      <w:sz w:val="18"/>
      <w:szCs w:val="24"/>
    </w:rPr>
  </w:style>
  <w:style w:type="paragraph" w:customStyle="1" w:styleId="a5">
    <w:name w:val="脚注"/>
    <w:basedOn w:val="a"/>
    <w:link w:val="Char1"/>
    <w:rsid w:val="00145C72"/>
    <w:pPr>
      <w:spacing w:beforeLines="50" w:before="50" w:afterLines="50" w:after="50"/>
      <w:ind w:leftChars="200" w:left="450" w:hangingChars="250" w:hanging="250"/>
    </w:pPr>
    <w:rPr>
      <w:rFonts w:asciiTheme="minorHAnsi" w:eastAsia="仿宋_GB2312" w:hAnsiTheme="minorHAnsi" w:cs="宋体"/>
      <w:sz w:val="18"/>
    </w:rPr>
  </w:style>
  <w:style w:type="paragraph" w:customStyle="1" w:styleId="30">
    <w:name w:val="样式3"/>
    <w:basedOn w:val="a"/>
    <w:rsid w:val="00145C72"/>
    <w:pPr>
      <w:spacing w:beforeLines="50" w:before="50" w:afterLines="50" w:after="50"/>
      <w:ind w:leftChars="200" w:left="350" w:hangingChars="150" w:hanging="150"/>
    </w:pPr>
    <w:rPr>
      <w:rFonts w:ascii="宋体" w:hAnsi="宋体" w:cs="宋体"/>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5C72"/>
    <w:pPr>
      <w:widowControl w:val="0"/>
      <w:jc w:val="both"/>
    </w:pPr>
    <w:rPr>
      <w:rFonts w:ascii="Times New Roman" w:eastAsia="宋体" w:hAnsi="Times New Roman" w:cs="Times New Roman"/>
      <w:szCs w:val="24"/>
    </w:rPr>
  </w:style>
  <w:style w:type="paragraph" w:styleId="2">
    <w:name w:val="heading 2"/>
    <w:basedOn w:val="a"/>
    <w:next w:val="a"/>
    <w:link w:val="2Char"/>
    <w:qFormat/>
    <w:rsid w:val="00145C72"/>
    <w:pPr>
      <w:keepNext/>
      <w:keepLines/>
      <w:spacing w:before="260" w:after="260" w:line="416" w:lineRule="auto"/>
      <w:outlineLvl w:val="1"/>
    </w:pPr>
    <w:rPr>
      <w:rFonts w:ascii="Arial" w:eastAsia="黑体" w:hAnsi="Arial"/>
      <w:b/>
      <w:bCs/>
      <w:sz w:val="32"/>
      <w:szCs w:val="32"/>
    </w:rPr>
  </w:style>
  <w:style w:type="paragraph" w:styleId="3">
    <w:name w:val="heading 3"/>
    <w:basedOn w:val="a"/>
    <w:next w:val="a"/>
    <w:link w:val="3Char1"/>
    <w:qFormat/>
    <w:rsid w:val="00145C72"/>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45C7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45C72"/>
    <w:rPr>
      <w:sz w:val="18"/>
      <w:szCs w:val="18"/>
    </w:rPr>
  </w:style>
  <w:style w:type="paragraph" w:styleId="a4">
    <w:name w:val="footer"/>
    <w:basedOn w:val="a"/>
    <w:link w:val="Char0"/>
    <w:uiPriority w:val="99"/>
    <w:unhideWhenUsed/>
    <w:rsid w:val="00145C72"/>
    <w:pPr>
      <w:tabs>
        <w:tab w:val="center" w:pos="4153"/>
        <w:tab w:val="right" w:pos="8306"/>
      </w:tabs>
      <w:snapToGrid w:val="0"/>
      <w:jc w:val="left"/>
    </w:pPr>
    <w:rPr>
      <w:sz w:val="18"/>
      <w:szCs w:val="18"/>
    </w:rPr>
  </w:style>
  <w:style w:type="character" w:customStyle="1" w:styleId="Char0">
    <w:name w:val="页脚 Char"/>
    <w:basedOn w:val="a0"/>
    <w:link w:val="a4"/>
    <w:uiPriority w:val="99"/>
    <w:rsid w:val="00145C72"/>
    <w:rPr>
      <w:sz w:val="18"/>
      <w:szCs w:val="18"/>
    </w:rPr>
  </w:style>
  <w:style w:type="character" w:customStyle="1" w:styleId="2Char">
    <w:name w:val="标题 2 Char"/>
    <w:basedOn w:val="a0"/>
    <w:link w:val="2"/>
    <w:rsid w:val="00145C72"/>
    <w:rPr>
      <w:rFonts w:ascii="Arial" w:eastAsia="黑体" w:hAnsi="Arial" w:cs="Times New Roman"/>
      <w:b/>
      <w:bCs/>
      <w:sz w:val="32"/>
      <w:szCs w:val="32"/>
    </w:rPr>
  </w:style>
  <w:style w:type="character" w:customStyle="1" w:styleId="3Char">
    <w:name w:val="标题 3 Char"/>
    <w:basedOn w:val="a0"/>
    <w:uiPriority w:val="9"/>
    <w:semiHidden/>
    <w:rsid w:val="00145C72"/>
    <w:rPr>
      <w:rFonts w:ascii="Times New Roman" w:eastAsia="宋体" w:hAnsi="Times New Roman" w:cs="Times New Roman"/>
      <w:b/>
      <w:bCs/>
      <w:sz w:val="32"/>
      <w:szCs w:val="32"/>
    </w:rPr>
  </w:style>
  <w:style w:type="character" w:customStyle="1" w:styleId="3Char1">
    <w:name w:val="标题 3 Char1"/>
    <w:link w:val="3"/>
    <w:locked/>
    <w:rsid w:val="00145C72"/>
    <w:rPr>
      <w:rFonts w:ascii="Times New Roman" w:eastAsia="宋体" w:hAnsi="Times New Roman" w:cs="Times New Roman"/>
      <w:b/>
      <w:bCs/>
      <w:sz w:val="32"/>
      <w:szCs w:val="32"/>
    </w:rPr>
  </w:style>
  <w:style w:type="character" w:customStyle="1" w:styleId="Char1">
    <w:name w:val="脚注 Char"/>
    <w:link w:val="a5"/>
    <w:rsid w:val="00145C72"/>
    <w:rPr>
      <w:rFonts w:eastAsia="仿宋_GB2312" w:cs="宋体"/>
      <w:sz w:val="18"/>
      <w:szCs w:val="24"/>
    </w:rPr>
  </w:style>
  <w:style w:type="paragraph" w:customStyle="1" w:styleId="a5">
    <w:name w:val="脚注"/>
    <w:basedOn w:val="a"/>
    <w:link w:val="Char1"/>
    <w:rsid w:val="00145C72"/>
    <w:pPr>
      <w:spacing w:beforeLines="50" w:before="50" w:afterLines="50" w:after="50"/>
      <w:ind w:leftChars="200" w:left="450" w:hangingChars="250" w:hanging="250"/>
    </w:pPr>
    <w:rPr>
      <w:rFonts w:asciiTheme="minorHAnsi" w:eastAsia="仿宋_GB2312" w:hAnsiTheme="minorHAnsi" w:cs="宋体"/>
      <w:sz w:val="18"/>
    </w:rPr>
  </w:style>
  <w:style w:type="paragraph" w:customStyle="1" w:styleId="30">
    <w:name w:val="样式3"/>
    <w:basedOn w:val="a"/>
    <w:rsid w:val="00145C72"/>
    <w:pPr>
      <w:spacing w:beforeLines="50" w:before="50" w:afterLines="50" w:after="50"/>
      <w:ind w:leftChars="200" w:left="350" w:hangingChars="150" w:hanging="150"/>
    </w:pPr>
    <w:rPr>
      <w:rFonts w:ascii="宋体" w:hAnsi="宋体" w:cs="宋体"/>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2</Pages>
  <Words>297</Words>
  <Characters>1699</Characters>
  <Application>Microsoft Office Word</Application>
  <DocSecurity>0</DocSecurity>
  <Lines>14</Lines>
  <Paragraphs>3</Paragraphs>
  <ScaleCrop>false</ScaleCrop>
  <Company/>
  <LinksUpToDate>false</LinksUpToDate>
  <CharactersWithSpaces>1993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YWY</dc:creator>
  <cp:keywords/>
  <dc:description/>
  <cp:lastModifiedBy>zjq</cp:lastModifiedBy>
  <cp:revision>6</cp:revision>
  <dcterms:created xsi:type="dcterms:W3CDTF">2020-04-22T04:45:00Z</dcterms:created>
  <dcterms:modified xsi:type="dcterms:W3CDTF">2022-03-16T08:46:00Z</dcterms:modified>
</cp:coreProperties>
</file>