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C4F" w:rsidRDefault="00846C4F" w:rsidP="006D25B8">
      <w:pPr>
        <w:jc w:val="center"/>
        <w:rPr>
          <w:rFonts w:asciiTheme="minorEastAsia" w:hAnsiTheme="minorEastAsia" w:cs="黑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928339A" wp14:editId="76507861">
            <wp:extent cx="5400675" cy="2961604"/>
            <wp:effectExtent l="0" t="0" r="0" b="0"/>
            <wp:docPr id="3" name="图片 3" descr="C:\Users\YWY\AppData\Local\Temp\162253946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WY\AppData\Local\Temp\1622539464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689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921F2C" wp14:editId="43C2AE14">
            <wp:extent cx="5400675" cy="542720"/>
            <wp:effectExtent l="0" t="0" r="0" b="0"/>
            <wp:docPr id="4" name="图片 4" descr="C:\Users\YWY\AppData\Local\Temp\16225395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WY\AppData\Local\Temp\1622539525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949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DDB" w:rsidRPr="00A3580A" w:rsidRDefault="00597DDB" w:rsidP="00597DDB">
      <w:pPr>
        <w:spacing w:line="360" w:lineRule="auto"/>
        <w:ind w:firstLine="465"/>
        <w:rPr>
          <w:rFonts w:ascii="Arial" w:hAnsi="宋体" w:cs="Arial"/>
          <w:b/>
          <w:sz w:val="24"/>
        </w:rPr>
      </w:pPr>
      <w:r w:rsidRPr="00A3580A">
        <w:rPr>
          <w:rFonts w:ascii="Calibri" w:eastAsia="宋体" w:hAnsi="Calibri" w:cs="Times New Roman" w:hint="eastAsia"/>
          <w:b/>
          <w:sz w:val="24"/>
        </w:rPr>
        <w:t>2.</w:t>
      </w:r>
      <w:r w:rsidRPr="00A3580A">
        <w:rPr>
          <w:rFonts w:ascii="Arial" w:hAnsi="宋体" w:cs="Arial"/>
          <w:b/>
          <w:sz w:val="24"/>
        </w:rPr>
        <w:t xml:space="preserve"> </w:t>
      </w:r>
      <w:r w:rsidRPr="00A3580A">
        <w:rPr>
          <w:rFonts w:ascii="Arial" w:hAnsi="宋体" w:cs="Arial"/>
          <w:b/>
          <w:sz w:val="24"/>
        </w:rPr>
        <w:t>计量要求方面</w:t>
      </w:r>
      <w:r w:rsidRPr="001211D2">
        <w:rPr>
          <w:rFonts w:ascii="Arial" w:hAnsi="宋体" w:cs="Arial" w:hint="eastAsia"/>
          <w:b/>
          <w:color w:val="FF0000"/>
          <w:sz w:val="24"/>
        </w:rPr>
        <w:t>（</w:t>
      </w:r>
      <w:r w:rsidRPr="001211D2">
        <w:rPr>
          <w:rFonts w:ascii="Arial" w:hAnsi="宋体" w:cs="Arial"/>
          <w:bCs/>
          <w:color w:val="FF0000"/>
          <w:sz w:val="24"/>
          <w:lang w:val="en-GB"/>
        </w:rPr>
        <w:t>型式评价试验的抽样原则</w:t>
      </w:r>
      <w:r w:rsidRPr="001211D2">
        <w:rPr>
          <w:rFonts w:ascii="Arial" w:hAnsi="宋体" w:cs="Arial" w:hint="eastAsia"/>
          <w:bCs/>
          <w:color w:val="FF0000"/>
          <w:sz w:val="24"/>
          <w:lang w:val="en-GB"/>
        </w:rPr>
        <w:t>）</w:t>
      </w:r>
    </w:p>
    <w:p w:rsidR="00597DDB" w:rsidRPr="00640D40" w:rsidRDefault="00597DDB" w:rsidP="00640D40">
      <w:pPr>
        <w:adjustRightInd w:val="0"/>
        <w:snapToGrid w:val="0"/>
        <w:spacing w:beforeLines="50" w:before="156"/>
        <w:ind w:leftChars="-135" w:left="-283" w:firstLineChars="217" w:firstLine="456"/>
        <w:rPr>
          <w:rFonts w:ascii="Arial" w:hAnsi="Arial" w:cs="Arial"/>
          <w:bCs/>
          <w:szCs w:val="21"/>
          <w:lang w:val="en-GB"/>
        </w:rPr>
      </w:pPr>
      <w:r w:rsidRPr="00640D40">
        <w:rPr>
          <w:rFonts w:ascii="Arial" w:hAnsi="宋体" w:cs="Arial"/>
          <w:bCs/>
          <w:szCs w:val="21"/>
        </w:rPr>
        <w:t>（</w:t>
      </w:r>
      <w:r w:rsidRPr="00640D40">
        <w:rPr>
          <w:rFonts w:ascii="Arial" w:hAnsi="Arial" w:cs="Arial"/>
          <w:bCs/>
          <w:szCs w:val="21"/>
        </w:rPr>
        <w:t>1</w:t>
      </w:r>
      <w:r w:rsidRPr="00640D40">
        <w:rPr>
          <w:rFonts w:ascii="Arial" w:hAnsi="宋体" w:cs="Arial"/>
          <w:bCs/>
          <w:szCs w:val="21"/>
        </w:rPr>
        <w:t>）</w:t>
      </w:r>
      <w:r w:rsidRPr="00640D40">
        <w:rPr>
          <w:rFonts w:ascii="Arial" w:hAnsi="Arial" w:cs="Arial"/>
          <w:bCs/>
          <w:szCs w:val="21"/>
        </w:rPr>
        <w:t xml:space="preserve"> </w:t>
      </w:r>
      <w:r w:rsidRPr="00640D40">
        <w:rPr>
          <w:rFonts w:ascii="Arial" w:hAnsi="宋体" w:cs="Arial" w:hint="eastAsia"/>
          <w:bCs/>
          <w:szCs w:val="21"/>
        </w:rPr>
        <w:t>基于等同采用</w:t>
      </w:r>
      <w:r w:rsidRPr="00640D40">
        <w:rPr>
          <w:rFonts w:ascii="Arial" w:hAnsi="宋体" w:cs="Arial"/>
          <w:bCs/>
          <w:szCs w:val="21"/>
        </w:rPr>
        <w:t>国际建议</w:t>
      </w:r>
      <w:r w:rsidRPr="00640D40">
        <w:rPr>
          <w:rFonts w:ascii="Arial" w:hAnsi="宋体" w:cs="Arial" w:hint="eastAsia"/>
          <w:bCs/>
          <w:szCs w:val="21"/>
        </w:rPr>
        <w:t>原则</w:t>
      </w:r>
      <w:r w:rsidRPr="00640D40">
        <w:rPr>
          <w:rFonts w:ascii="Arial" w:hAnsi="宋体" w:cs="Arial"/>
          <w:bCs/>
          <w:szCs w:val="21"/>
        </w:rPr>
        <w:t>，引入了</w:t>
      </w:r>
      <w:r w:rsidRPr="00640D40">
        <w:rPr>
          <w:rFonts w:ascii="Arial" w:hAnsi="Arial" w:cs="Arial"/>
          <w:bCs/>
          <w:szCs w:val="21"/>
        </w:rPr>
        <w:t>“</w:t>
      </w:r>
      <w:r w:rsidRPr="00640D40">
        <w:rPr>
          <w:rFonts w:ascii="Arial" w:hAnsi="宋体" w:cs="Arial"/>
          <w:bCs/>
          <w:szCs w:val="21"/>
        </w:rPr>
        <w:t>族</w:t>
      </w:r>
      <w:r w:rsidRPr="00640D40">
        <w:rPr>
          <w:rFonts w:ascii="Arial" w:hAnsi="Arial" w:cs="Arial"/>
          <w:bCs/>
          <w:szCs w:val="21"/>
        </w:rPr>
        <w:t>”-</w:t>
      </w:r>
      <w:r w:rsidRPr="00640D40">
        <w:rPr>
          <w:rFonts w:ascii="Arial" w:hAnsi="Arial" w:cs="Arial"/>
          <w:szCs w:val="21"/>
          <w:lang w:val="en-GB"/>
        </w:rPr>
        <w:t>Family</w:t>
      </w:r>
      <w:r w:rsidRPr="00640D40">
        <w:rPr>
          <w:rFonts w:ascii="Arial" w:hAnsi="宋体" w:cs="Arial"/>
          <w:szCs w:val="21"/>
          <w:lang w:val="en-GB"/>
        </w:rPr>
        <w:t>的概念。指明</w:t>
      </w:r>
      <w:r w:rsidRPr="00640D40">
        <w:rPr>
          <w:rFonts w:ascii="Arial" w:hAnsi="Arial" w:cs="Arial"/>
          <w:szCs w:val="21"/>
          <w:lang w:val="en-GB"/>
        </w:rPr>
        <w:t>“</w:t>
      </w:r>
      <w:r w:rsidRPr="00640D40">
        <w:rPr>
          <w:rFonts w:ascii="Arial" w:hAnsi="宋体" w:cs="Arial"/>
          <w:szCs w:val="21"/>
          <w:lang w:val="en-GB"/>
        </w:rPr>
        <w:t>族</w:t>
      </w:r>
      <w:r w:rsidRPr="00640D40">
        <w:rPr>
          <w:rFonts w:ascii="Arial" w:hAnsi="Arial" w:cs="Arial"/>
          <w:bCs/>
          <w:szCs w:val="21"/>
        </w:rPr>
        <w:t>”</w:t>
      </w:r>
      <w:r w:rsidRPr="00640D40">
        <w:rPr>
          <w:rFonts w:ascii="Arial" w:hAnsi="宋体" w:cs="Arial"/>
          <w:szCs w:val="21"/>
          <w:lang w:val="en-GB"/>
        </w:rPr>
        <w:t>是指</w:t>
      </w:r>
      <w:r w:rsidRPr="00640D40">
        <w:rPr>
          <w:rFonts w:ascii="Arial" w:hAnsi="宋体" w:cs="Arial"/>
          <w:bCs/>
          <w:szCs w:val="21"/>
        </w:rPr>
        <w:t>属于同一生产型式</w:t>
      </w:r>
      <w:r w:rsidRPr="00640D40">
        <w:rPr>
          <w:rFonts w:ascii="Arial" w:hAnsi="Arial" w:cs="Arial"/>
          <w:bCs/>
          <w:szCs w:val="21"/>
        </w:rPr>
        <w:t xml:space="preserve">, </w:t>
      </w:r>
      <w:r w:rsidRPr="00640D40">
        <w:rPr>
          <w:rFonts w:ascii="Arial" w:hAnsi="宋体" w:cs="Arial"/>
          <w:bCs/>
          <w:szCs w:val="21"/>
        </w:rPr>
        <w:t>并具有相同设计特点与测量原理的一组可识别的衡器或模块，例如：相同型式的指示器，相同设计型式的传感器和载荷传递装置，但它们的一些计量和技术性能可能不同，例如：最大秤量、最小秤量、检定分度值、检定分度数、准确度等级等。引入</w:t>
      </w:r>
      <w:r w:rsidRPr="00640D40">
        <w:rPr>
          <w:rFonts w:ascii="Arial" w:hAnsi="Arial" w:cs="Arial"/>
          <w:bCs/>
          <w:szCs w:val="21"/>
        </w:rPr>
        <w:t>“</w:t>
      </w:r>
      <w:r w:rsidRPr="00640D40">
        <w:rPr>
          <w:rFonts w:ascii="Arial" w:hAnsi="宋体" w:cs="Arial"/>
          <w:bCs/>
          <w:szCs w:val="21"/>
        </w:rPr>
        <w:t>族</w:t>
      </w:r>
      <w:r w:rsidRPr="00640D40">
        <w:rPr>
          <w:rFonts w:ascii="Arial" w:hAnsi="Arial" w:cs="Arial"/>
          <w:bCs/>
          <w:szCs w:val="21"/>
        </w:rPr>
        <w:t>”</w:t>
      </w:r>
      <w:r w:rsidRPr="00640D40">
        <w:rPr>
          <w:rFonts w:ascii="Arial" w:hAnsi="宋体" w:cs="Arial"/>
          <w:bCs/>
          <w:szCs w:val="21"/>
          <w:lang w:val="en-GB"/>
        </w:rPr>
        <w:t>的概念的主要目的是为了减少型</w:t>
      </w:r>
      <w:proofErr w:type="gramStart"/>
      <w:r w:rsidRPr="00640D40">
        <w:rPr>
          <w:rFonts w:ascii="Arial" w:hAnsi="宋体" w:cs="Arial"/>
          <w:bCs/>
          <w:szCs w:val="21"/>
          <w:lang w:val="en-GB"/>
        </w:rPr>
        <w:t>式评价</w:t>
      </w:r>
      <w:proofErr w:type="gramEnd"/>
      <w:r w:rsidRPr="00640D40">
        <w:rPr>
          <w:rFonts w:ascii="Arial" w:hAnsi="宋体" w:cs="Arial"/>
          <w:bCs/>
          <w:szCs w:val="21"/>
          <w:lang w:val="en-GB"/>
        </w:rPr>
        <w:t>的试验量。</w:t>
      </w:r>
    </w:p>
    <w:p w:rsidR="00597DDB" w:rsidRPr="00640D40" w:rsidRDefault="00597DDB" w:rsidP="006D25B8">
      <w:pPr>
        <w:adjustRightInd w:val="0"/>
        <w:snapToGrid w:val="0"/>
        <w:spacing w:beforeLines="50" w:before="156" w:line="240" w:lineRule="exact"/>
        <w:ind w:leftChars="-135" w:left="-283" w:firstLineChars="200" w:firstLine="420"/>
        <w:rPr>
          <w:rFonts w:ascii="Arial" w:hAnsi="Arial" w:cs="Arial"/>
          <w:szCs w:val="21"/>
        </w:rPr>
      </w:pPr>
      <w:r w:rsidRPr="00640D40">
        <w:rPr>
          <w:rFonts w:ascii="Arial" w:hAnsi="宋体" w:cs="Arial"/>
          <w:bCs/>
          <w:szCs w:val="21"/>
          <w:lang w:val="en-GB"/>
        </w:rPr>
        <w:t>（</w:t>
      </w:r>
      <w:r w:rsidRPr="00640D40">
        <w:rPr>
          <w:rFonts w:ascii="Arial" w:hAnsi="Arial" w:cs="Arial"/>
          <w:bCs/>
          <w:szCs w:val="21"/>
          <w:lang w:val="en-GB"/>
        </w:rPr>
        <w:t>2</w:t>
      </w:r>
      <w:r w:rsidRPr="00640D40">
        <w:rPr>
          <w:rFonts w:ascii="Arial" w:hAnsi="宋体" w:cs="Arial"/>
          <w:bCs/>
          <w:szCs w:val="21"/>
          <w:lang w:val="en-GB"/>
        </w:rPr>
        <w:t>）</w:t>
      </w:r>
      <w:r w:rsidRPr="00640D40">
        <w:rPr>
          <w:rFonts w:ascii="Arial" w:hAnsi="Arial" w:cs="Arial"/>
          <w:bCs/>
          <w:szCs w:val="21"/>
          <w:lang w:val="en-GB"/>
        </w:rPr>
        <w:t xml:space="preserve"> </w:t>
      </w:r>
      <w:r w:rsidRPr="00640D40">
        <w:rPr>
          <w:rFonts w:ascii="Arial" w:hAnsi="宋体" w:cs="Arial"/>
          <w:bCs/>
          <w:szCs w:val="21"/>
          <w:lang w:val="en-GB"/>
        </w:rPr>
        <w:t>随着</w:t>
      </w:r>
      <w:r w:rsidRPr="00640D40">
        <w:rPr>
          <w:rFonts w:ascii="Arial" w:hAnsi="Arial" w:cs="Arial"/>
          <w:bCs/>
          <w:szCs w:val="21"/>
          <w:lang w:val="en-GB"/>
        </w:rPr>
        <w:t>“</w:t>
      </w:r>
      <w:r w:rsidRPr="00640D40">
        <w:rPr>
          <w:rFonts w:ascii="Arial" w:hAnsi="宋体" w:cs="Arial"/>
          <w:bCs/>
          <w:szCs w:val="21"/>
          <w:lang w:val="en-GB"/>
        </w:rPr>
        <w:t>族</w:t>
      </w:r>
      <w:r w:rsidRPr="00640D40">
        <w:rPr>
          <w:rFonts w:ascii="Arial" w:hAnsi="Arial" w:cs="Arial"/>
          <w:bCs/>
          <w:szCs w:val="21"/>
          <w:lang w:val="en-GB"/>
        </w:rPr>
        <w:t>”</w:t>
      </w:r>
      <w:r w:rsidRPr="00640D40">
        <w:rPr>
          <w:rFonts w:ascii="Arial" w:hAnsi="宋体" w:cs="Arial"/>
          <w:bCs/>
          <w:szCs w:val="21"/>
          <w:lang w:val="en-GB"/>
        </w:rPr>
        <w:t>的概念的引入，也随之明确了非自动衡器型式评价试验的抽样原则，</w:t>
      </w:r>
      <w:r w:rsidRPr="00640D40">
        <w:rPr>
          <w:rFonts w:ascii="Arial" w:hAnsi="宋体" w:cs="Arial"/>
          <w:szCs w:val="21"/>
        </w:rPr>
        <w:t>即被测试件（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）的选择原则：所选衡器或模块要有足够的代表性，数量</w:t>
      </w:r>
      <w:proofErr w:type="gramStart"/>
      <w:r w:rsidRPr="00640D40">
        <w:rPr>
          <w:rFonts w:ascii="Arial" w:hAnsi="宋体" w:cs="Arial"/>
          <w:szCs w:val="21"/>
        </w:rPr>
        <w:t>尽量少并应选</w:t>
      </w:r>
      <w:proofErr w:type="gramEnd"/>
      <w:r w:rsidRPr="00640D40">
        <w:rPr>
          <w:rFonts w:ascii="Arial" w:hAnsi="宋体" w:cs="Arial"/>
          <w:szCs w:val="21"/>
        </w:rPr>
        <w:t>择计量性能最高的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进行试验。当计量性能最高的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获得型式批准时</w:t>
      </w:r>
      <w:r w:rsidRPr="00640D40">
        <w:rPr>
          <w:rFonts w:ascii="Arial" w:hAnsi="Arial" w:cs="Arial"/>
          <w:szCs w:val="21"/>
        </w:rPr>
        <w:t>,</w:t>
      </w:r>
      <w:r w:rsidRPr="00640D40">
        <w:rPr>
          <w:rFonts w:ascii="Arial" w:hAnsi="宋体" w:cs="Arial"/>
          <w:szCs w:val="21"/>
        </w:rPr>
        <w:t>意味着计量性能比其低的衡器或模块也获得了型式批准。其中同一族衡器或模块中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的选择，至少应选择</w:t>
      </w:r>
      <w:r w:rsidRPr="00640D40">
        <w:rPr>
          <w:rFonts w:ascii="Arial" w:hAnsi="宋体" w:cs="Arial"/>
          <w:color w:val="FF0000"/>
          <w:szCs w:val="21"/>
        </w:rPr>
        <w:t>检定分度数（</w:t>
      </w:r>
      <w:r w:rsidRPr="00640D40">
        <w:rPr>
          <w:rFonts w:ascii="Arial" w:hAnsi="Arial" w:cs="Arial"/>
          <w:i/>
          <w:color w:val="FF0000"/>
          <w:szCs w:val="21"/>
        </w:rPr>
        <w:t>n</w:t>
      </w:r>
      <w:r w:rsidRPr="00640D40">
        <w:rPr>
          <w:rFonts w:ascii="Arial" w:hAnsi="宋体" w:cs="Arial"/>
          <w:color w:val="FF0000"/>
          <w:szCs w:val="21"/>
        </w:rPr>
        <w:t>）最大</w:t>
      </w:r>
      <w:r w:rsidRPr="00640D40">
        <w:rPr>
          <w:rFonts w:ascii="Arial" w:hAnsi="宋体" w:cs="Arial"/>
          <w:szCs w:val="21"/>
        </w:rPr>
        <w:t>和</w:t>
      </w:r>
      <w:r w:rsidRPr="00640D40">
        <w:rPr>
          <w:rFonts w:ascii="Arial" w:hAnsi="宋体" w:cs="Arial"/>
          <w:color w:val="FF0000"/>
          <w:szCs w:val="21"/>
        </w:rPr>
        <w:t>检定分度值（</w:t>
      </w:r>
      <w:r w:rsidRPr="00640D40">
        <w:rPr>
          <w:rFonts w:ascii="Arial" w:hAnsi="Arial" w:cs="Arial"/>
          <w:i/>
          <w:color w:val="FF0000"/>
          <w:szCs w:val="21"/>
        </w:rPr>
        <w:t>e</w:t>
      </w:r>
      <w:r w:rsidRPr="00640D40">
        <w:rPr>
          <w:rFonts w:ascii="Arial" w:hAnsi="宋体" w:cs="Arial"/>
          <w:color w:val="FF0000"/>
          <w:szCs w:val="21"/>
        </w:rPr>
        <w:t>）最小</w:t>
      </w:r>
      <w:r w:rsidRPr="00D96EA0">
        <w:rPr>
          <w:rFonts w:ascii="Arial" w:hAnsi="宋体" w:cs="Arial"/>
          <w:color w:val="FF0000"/>
          <w:szCs w:val="21"/>
        </w:rPr>
        <w:t>的衡器</w:t>
      </w:r>
      <w:r w:rsidRPr="00640D40">
        <w:rPr>
          <w:rFonts w:ascii="Arial" w:hAnsi="宋体" w:cs="Arial"/>
          <w:szCs w:val="21"/>
        </w:rPr>
        <w:t>或模块作为</w:t>
      </w:r>
      <w:r w:rsidRPr="00640D40">
        <w:rPr>
          <w:rFonts w:ascii="Arial" w:hAnsi="Arial" w:cs="Arial"/>
          <w:szCs w:val="21"/>
        </w:rPr>
        <w:t>EUTs</w:t>
      </w:r>
      <w:r w:rsidRPr="00640D40">
        <w:rPr>
          <w:rFonts w:ascii="Arial" w:hAnsi="宋体" w:cs="Arial"/>
          <w:szCs w:val="21"/>
        </w:rPr>
        <w:t>。如果某型号的衡器或模块同时满足上述两个条件，则选择该衡器或模块作为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即可。另外还规定</w:t>
      </w:r>
      <w:r w:rsidRPr="00640D40">
        <w:rPr>
          <w:rFonts w:ascii="Arial" w:hAnsi="宋体" w:cs="Arial"/>
          <w:bCs/>
          <w:szCs w:val="21"/>
        </w:rPr>
        <w:t>满足下列条件之一的衡器或模块无须进行测试：</w:t>
      </w:r>
      <w:r w:rsidRPr="00640D40">
        <w:rPr>
          <w:rFonts w:ascii="Arial" w:hAnsi="Arial" w:cs="Arial"/>
          <w:szCs w:val="21"/>
        </w:rPr>
        <w:t>1</w:t>
      </w:r>
      <w:r w:rsidRPr="00640D40">
        <w:rPr>
          <w:rFonts w:ascii="Arial" w:hAnsi="宋体" w:cs="Arial"/>
          <w:szCs w:val="21"/>
        </w:rPr>
        <w:t>）</w:t>
      </w:r>
      <w:proofErr w:type="gramStart"/>
      <w:r w:rsidRPr="00640D40">
        <w:rPr>
          <w:rFonts w:ascii="Arial" w:hAnsi="宋体" w:cs="Arial"/>
          <w:szCs w:val="21"/>
        </w:rPr>
        <w:t>如果族</w:t>
      </w:r>
      <w:proofErr w:type="gramEnd"/>
      <w:r w:rsidRPr="00640D40">
        <w:rPr>
          <w:rFonts w:ascii="Arial" w:hAnsi="宋体" w:cs="Arial"/>
          <w:szCs w:val="21"/>
        </w:rPr>
        <w:t>中某个型号衡器的最大秤量（</w:t>
      </w:r>
      <w:r w:rsidRPr="00640D40">
        <w:rPr>
          <w:rFonts w:ascii="Arial" w:hAnsi="Arial" w:cs="Arial"/>
          <w:szCs w:val="21"/>
        </w:rPr>
        <w:t>Max</w:t>
      </w:r>
      <w:r w:rsidRPr="00640D40">
        <w:rPr>
          <w:rFonts w:ascii="Arial" w:hAnsi="宋体" w:cs="Arial"/>
          <w:szCs w:val="21"/>
        </w:rPr>
        <w:t>）介于两个已选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的最大秤量之间，且两个已选</w:t>
      </w:r>
      <w:r w:rsidRPr="00640D40">
        <w:rPr>
          <w:rFonts w:ascii="Arial" w:hAnsi="Arial" w:cs="Arial"/>
          <w:szCs w:val="21"/>
        </w:rPr>
        <w:t>EUT</w:t>
      </w:r>
      <w:r w:rsidRPr="00D96EA0">
        <w:rPr>
          <w:rFonts w:ascii="Arial" w:hAnsi="宋体" w:cs="Arial"/>
          <w:color w:val="FF0000"/>
          <w:szCs w:val="21"/>
        </w:rPr>
        <w:t>最大秤量之间的比不超过</w:t>
      </w:r>
      <w:r w:rsidRPr="00D96EA0">
        <w:rPr>
          <w:rFonts w:ascii="Arial" w:hAnsi="Arial" w:cs="Arial"/>
          <w:color w:val="FF0000"/>
          <w:szCs w:val="21"/>
        </w:rPr>
        <w:t>10</w:t>
      </w:r>
      <w:r w:rsidRPr="00640D40">
        <w:rPr>
          <w:rFonts w:ascii="Arial" w:hAnsi="Arial" w:cs="Arial"/>
          <w:szCs w:val="21"/>
        </w:rPr>
        <w:t xml:space="preserve">, </w:t>
      </w:r>
      <w:r w:rsidRPr="00640D40">
        <w:rPr>
          <w:rFonts w:ascii="Arial" w:hAnsi="宋体" w:cs="Arial"/>
          <w:szCs w:val="21"/>
        </w:rPr>
        <w:t>则这台衡器可不进行测试。</w:t>
      </w:r>
      <w:r w:rsidRPr="00640D40">
        <w:rPr>
          <w:rFonts w:ascii="Arial" w:hAnsi="Arial" w:cs="Arial"/>
          <w:szCs w:val="21"/>
        </w:rPr>
        <w:t>2</w:t>
      </w:r>
      <w:r w:rsidRPr="00640D40">
        <w:rPr>
          <w:rFonts w:ascii="Arial" w:hAnsi="宋体" w:cs="Arial"/>
          <w:szCs w:val="21"/>
        </w:rPr>
        <w:t>）如满足下列每个条件，则无需进行测试：</w:t>
      </w:r>
    </w:p>
    <w:p w:rsidR="00597DDB" w:rsidRPr="00640D40" w:rsidRDefault="00597DDB" w:rsidP="006D25B8">
      <w:pPr>
        <w:adjustRightInd w:val="0"/>
        <w:snapToGrid w:val="0"/>
        <w:spacing w:beforeLines="50" w:before="156" w:line="240" w:lineRule="exact"/>
        <w:ind w:firstLineChars="150" w:firstLine="315"/>
        <w:rPr>
          <w:rFonts w:ascii="Arial" w:hAnsi="Arial" w:cs="Arial"/>
          <w:szCs w:val="21"/>
          <w:lang w:val="it-IT"/>
        </w:rPr>
      </w:pPr>
      <w:r w:rsidRPr="00640D40">
        <w:rPr>
          <w:rFonts w:ascii="Arial" w:hAnsi="Arial" w:cs="Arial"/>
          <w:szCs w:val="21"/>
          <w:lang w:val="it-IT"/>
        </w:rPr>
        <w:t xml:space="preserve">— </w:t>
      </w:r>
      <w:r w:rsidRPr="00640D40">
        <w:rPr>
          <w:rFonts w:ascii="Arial" w:hAnsi="Arial" w:cs="Arial"/>
          <w:i/>
          <w:szCs w:val="21"/>
          <w:lang w:val="it-IT"/>
        </w:rPr>
        <w:t>n</w:t>
      </w:r>
      <w:r w:rsidRPr="00640D40">
        <w:rPr>
          <w:rFonts w:ascii="Arial" w:hAnsi="Arial" w:cs="Arial"/>
          <w:szCs w:val="21"/>
          <w:lang w:val="it-IT"/>
        </w:rPr>
        <w:t xml:space="preserve"> ≤ </w:t>
      </w:r>
      <w:r w:rsidRPr="00640D40">
        <w:rPr>
          <w:rFonts w:ascii="Arial" w:hAnsi="Arial" w:cs="Arial"/>
          <w:i/>
          <w:szCs w:val="21"/>
          <w:lang w:val="it-IT"/>
        </w:rPr>
        <w:t>n</w:t>
      </w:r>
      <w:r w:rsidRPr="00640D40">
        <w:rPr>
          <w:rFonts w:ascii="Arial" w:hAnsi="Arial" w:cs="Arial"/>
          <w:szCs w:val="21"/>
          <w:vertAlign w:val="subscript"/>
          <w:lang w:val="it-IT"/>
        </w:rPr>
        <w:t>test</w:t>
      </w:r>
    </w:p>
    <w:p w:rsidR="00597DDB" w:rsidRPr="00640D40" w:rsidRDefault="00597DDB" w:rsidP="006D25B8">
      <w:pPr>
        <w:adjustRightInd w:val="0"/>
        <w:snapToGrid w:val="0"/>
        <w:spacing w:beforeLines="50" w:before="156" w:line="240" w:lineRule="exact"/>
        <w:ind w:left="360"/>
        <w:rPr>
          <w:rFonts w:ascii="Arial" w:hAnsi="Arial" w:cs="Arial"/>
          <w:szCs w:val="21"/>
          <w:lang w:val="it-IT"/>
        </w:rPr>
      </w:pPr>
      <w:r w:rsidRPr="00640D40">
        <w:rPr>
          <w:rFonts w:ascii="Arial" w:hAnsi="Arial" w:cs="Arial"/>
          <w:szCs w:val="21"/>
          <w:lang w:val="it-IT"/>
        </w:rPr>
        <w:t xml:space="preserve">— </w:t>
      </w:r>
      <w:r w:rsidRPr="00640D40">
        <w:rPr>
          <w:rFonts w:ascii="Arial" w:hAnsi="Arial" w:cs="Arial"/>
          <w:i/>
          <w:szCs w:val="21"/>
          <w:lang w:val="it-IT"/>
        </w:rPr>
        <w:t>e</w:t>
      </w:r>
      <w:r w:rsidRPr="00640D40">
        <w:rPr>
          <w:rFonts w:ascii="Arial" w:hAnsi="Arial" w:cs="Arial"/>
          <w:szCs w:val="21"/>
          <w:lang w:val="it-IT"/>
        </w:rPr>
        <w:t xml:space="preserve"> ≥ </w:t>
      </w:r>
      <w:r w:rsidRPr="00640D40">
        <w:rPr>
          <w:rFonts w:ascii="Arial" w:hAnsi="Arial" w:cs="Arial"/>
          <w:i/>
          <w:szCs w:val="21"/>
          <w:lang w:val="it-IT"/>
        </w:rPr>
        <w:t>e</w:t>
      </w:r>
      <w:r w:rsidRPr="00640D40">
        <w:rPr>
          <w:rFonts w:ascii="Arial" w:hAnsi="Arial" w:cs="Arial"/>
          <w:szCs w:val="21"/>
          <w:vertAlign w:val="subscript"/>
          <w:lang w:val="it-IT"/>
        </w:rPr>
        <w:t>test</w:t>
      </w:r>
      <w:bookmarkStart w:id="0" w:name="_GoBack"/>
      <w:bookmarkEnd w:id="0"/>
    </w:p>
    <w:p w:rsidR="00597DDB" w:rsidRPr="00640D40" w:rsidRDefault="00597DDB" w:rsidP="006D25B8">
      <w:pPr>
        <w:adjustRightInd w:val="0"/>
        <w:snapToGrid w:val="0"/>
        <w:spacing w:beforeLines="50" w:before="156" w:line="240" w:lineRule="exact"/>
        <w:ind w:left="360"/>
        <w:rPr>
          <w:rFonts w:ascii="Arial" w:hAnsi="Arial" w:cs="Arial"/>
          <w:szCs w:val="21"/>
          <w:lang w:val="fr-FR"/>
        </w:rPr>
      </w:pPr>
      <w:r w:rsidRPr="00640D40">
        <w:rPr>
          <w:rFonts w:ascii="Arial" w:hAnsi="Arial" w:cs="Arial"/>
          <w:szCs w:val="21"/>
          <w:lang w:val="fr-FR"/>
        </w:rPr>
        <w:t>— Max ≤ 5 · Max</w:t>
      </w:r>
      <w:r w:rsidRPr="00640D40">
        <w:rPr>
          <w:rFonts w:ascii="Arial" w:hAnsi="Arial" w:cs="Arial"/>
          <w:szCs w:val="21"/>
          <w:vertAlign w:val="subscript"/>
          <w:lang w:val="fr-FR"/>
        </w:rPr>
        <w:t>test</w:t>
      </w:r>
      <w:r w:rsidRPr="00640D40">
        <w:rPr>
          <w:rFonts w:ascii="Arial" w:hAnsi="Arial" w:cs="Arial"/>
          <w:szCs w:val="21"/>
          <w:lang w:val="fr-FR"/>
        </w:rPr>
        <w:t xml:space="preserve"> · (n</w:t>
      </w:r>
      <w:r w:rsidRPr="00640D40">
        <w:rPr>
          <w:rFonts w:ascii="Arial" w:hAnsi="Arial" w:cs="Arial"/>
          <w:szCs w:val="21"/>
          <w:vertAlign w:val="subscript"/>
          <w:lang w:val="fr-FR"/>
        </w:rPr>
        <w:t>test</w:t>
      </w:r>
      <w:r w:rsidRPr="00640D40">
        <w:rPr>
          <w:rFonts w:ascii="Arial" w:hAnsi="Arial" w:cs="Arial"/>
          <w:szCs w:val="21"/>
          <w:lang w:val="fr-FR"/>
        </w:rPr>
        <w:t>/n)</w:t>
      </w:r>
    </w:p>
    <w:p w:rsidR="00597DDB" w:rsidRPr="00640D40" w:rsidRDefault="00597DDB" w:rsidP="00640D40">
      <w:pPr>
        <w:adjustRightInd w:val="0"/>
        <w:snapToGrid w:val="0"/>
        <w:spacing w:beforeLines="50" w:before="156"/>
        <w:ind w:leftChars="-135" w:left="-283" w:firstLineChars="236" w:firstLine="496"/>
        <w:rPr>
          <w:rFonts w:ascii="Arial" w:hAnsi="Arial" w:cs="Arial"/>
          <w:szCs w:val="21"/>
        </w:rPr>
      </w:pPr>
      <w:proofErr w:type="gramStart"/>
      <w:r w:rsidRPr="00640D40">
        <w:rPr>
          <w:rFonts w:ascii="Arial" w:hAnsi="宋体" w:cs="Arial"/>
          <w:szCs w:val="21"/>
        </w:rPr>
        <w:t>如果族</w:t>
      </w:r>
      <w:proofErr w:type="gramEnd"/>
      <w:r w:rsidRPr="00640D40">
        <w:rPr>
          <w:rFonts w:ascii="Arial" w:hAnsi="宋体" w:cs="Arial"/>
          <w:szCs w:val="21"/>
        </w:rPr>
        <w:t>中较高准确度等级的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已进行了完整的试验，则较低准确度等级的</w:t>
      </w:r>
      <w:r w:rsidRPr="00640D40">
        <w:rPr>
          <w:rFonts w:ascii="Arial" w:hAnsi="Arial" w:cs="Arial"/>
          <w:szCs w:val="21"/>
        </w:rPr>
        <w:t>EUT</w:t>
      </w:r>
      <w:r w:rsidRPr="00640D40">
        <w:rPr>
          <w:rFonts w:ascii="Arial" w:hAnsi="宋体" w:cs="Arial"/>
          <w:szCs w:val="21"/>
        </w:rPr>
        <w:t>只需进行较高准确度等级未覆盖的试验。</w:t>
      </w:r>
    </w:p>
    <w:p w:rsidR="00242993" w:rsidRPr="00597DDB" w:rsidRDefault="00640D40">
      <w:r>
        <w:rPr>
          <w:noProof/>
        </w:rPr>
        <w:drawing>
          <wp:inline distT="0" distB="0" distL="0" distR="0">
            <wp:extent cx="5268347" cy="1010093"/>
            <wp:effectExtent l="0" t="0" r="0" b="0"/>
            <wp:docPr id="1" name="图片 1" descr="C:\Users\YWY\Desktop\屏幕截图 2021-11-02 121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WY\Desktop\屏幕截图 2021-11-02 12174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2993" w:rsidRPr="00597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03" w:rsidRDefault="00A72603" w:rsidP="00597DDB">
      <w:r>
        <w:separator/>
      </w:r>
    </w:p>
  </w:endnote>
  <w:endnote w:type="continuationSeparator" w:id="0">
    <w:p w:rsidR="00A72603" w:rsidRDefault="00A72603" w:rsidP="0059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03" w:rsidRDefault="00A72603" w:rsidP="00597DDB">
      <w:r>
        <w:separator/>
      </w:r>
    </w:p>
  </w:footnote>
  <w:footnote w:type="continuationSeparator" w:id="0">
    <w:p w:rsidR="00A72603" w:rsidRDefault="00A72603" w:rsidP="00597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F47"/>
    <w:rsid w:val="00031F56"/>
    <w:rsid w:val="001B045D"/>
    <w:rsid w:val="00242993"/>
    <w:rsid w:val="00287004"/>
    <w:rsid w:val="00491DA1"/>
    <w:rsid w:val="00597DDB"/>
    <w:rsid w:val="005D398D"/>
    <w:rsid w:val="00640D40"/>
    <w:rsid w:val="006D25B8"/>
    <w:rsid w:val="00846C4F"/>
    <w:rsid w:val="009F3F47"/>
    <w:rsid w:val="00A72603"/>
    <w:rsid w:val="00C9431F"/>
    <w:rsid w:val="00D96EA0"/>
    <w:rsid w:val="00DE47B8"/>
    <w:rsid w:val="00E420AD"/>
    <w:rsid w:val="00ED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D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20A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D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D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0D4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0D4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420AD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D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420A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D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D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0D4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0D4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420A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B134A-F424-4E8E-A46F-F1962C77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YWY</dc:creator>
  <cp:keywords/>
  <dc:description/>
  <cp:lastModifiedBy>YWY</cp:lastModifiedBy>
  <cp:revision>8</cp:revision>
  <dcterms:created xsi:type="dcterms:W3CDTF">2020-04-22T07:07:00Z</dcterms:created>
  <dcterms:modified xsi:type="dcterms:W3CDTF">2022-03-16T06:56:00Z</dcterms:modified>
</cp:coreProperties>
</file>